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13816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202</w:t>
      </w:r>
      <w:r>
        <w:rPr>
          <w:rFonts w:ascii="宋体" w:hAnsi="宋体" w:eastAsia="宋体" w:cs="宋体"/>
          <w:b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sz w:val="28"/>
          <w:szCs w:val="28"/>
        </w:rPr>
        <w:t>年第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41</w:t>
      </w:r>
      <w:r>
        <w:rPr>
          <w:rFonts w:hint="eastAsia" w:ascii="宋体" w:hAnsi="宋体" w:eastAsia="宋体" w:cs="宋体"/>
          <w:b/>
          <w:sz w:val="28"/>
          <w:szCs w:val="28"/>
        </w:rPr>
        <w:t>周</w:t>
      </w:r>
    </w:p>
    <w:p w14:paraId="33BD876F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中国大陆学者发表的结核病英文文章摘要</w:t>
      </w:r>
    </w:p>
    <w:p w14:paraId="3B010A26">
      <w:pPr>
        <w:spacing w:line="360" w:lineRule="auto"/>
        <w:jc w:val="center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22</w:t>
      </w:r>
      <w:r>
        <w:rPr>
          <w:rFonts w:hint="eastAsia" w:ascii="宋体" w:hAnsi="宋体" w:eastAsia="宋体" w:cs="宋体"/>
          <w:b/>
          <w:sz w:val="28"/>
          <w:szCs w:val="28"/>
        </w:rPr>
        <w:t>篇）</w:t>
      </w:r>
    </w:p>
    <w:p w14:paraId="21046732">
      <w:pPr>
        <w:jc w:val="left"/>
        <w:rPr>
          <w:rFonts w:ascii="宋体" w:hAnsi="宋体" w:eastAsia="宋体" w:cs="宋体"/>
          <w:szCs w:val="24"/>
        </w:rPr>
      </w:pPr>
    </w:p>
    <w:p w14:paraId="7C13C355">
      <w:pPr>
        <w:jc w:val="left"/>
        <w:rPr>
          <w:rFonts w:hint="default" w:ascii="宋体" w:hAnsi="宋体" w:eastAsia="宋体" w:cs="宋体"/>
          <w:b/>
          <w:color w:val="FF000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color w:val="FF0000"/>
          <w:szCs w:val="24"/>
        </w:rPr>
        <w:t>---202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11</w:t>
      </w:r>
    </w:p>
    <w:p w14:paraId="50A50AAA">
      <w:pPr>
        <w:jc w:val="left"/>
        <w:rPr>
          <w:rFonts w:ascii="宋体" w:hAnsi="宋体" w:eastAsia="宋体" w:cs="宋体"/>
          <w:b/>
          <w:color w:val="FF0000"/>
          <w:szCs w:val="21"/>
        </w:rPr>
      </w:pPr>
      <w:r>
        <w:rPr>
          <w:rFonts w:hint="eastAsia" w:ascii="宋体" w:hAnsi="宋体" w:eastAsia="宋体" w:cs="宋体"/>
          <w:b/>
          <w:color w:val="FF0000"/>
          <w:szCs w:val="21"/>
        </w:rPr>
        <w:t>(tuberculosis[Title/Abstract]) AND (English[Language]) AND</w:t>
      </w:r>
      <w:r>
        <w:rPr>
          <w:rFonts w:ascii="宋体" w:hAnsi="宋体" w:eastAsia="宋体" w:cs="宋体"/>
          <w:b/>
          <w:color w:val="FF0000"/>
          <w:szCs w:val="21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1"/>
        </w:rPr>
        <w:t>(China[Affiliation])</w:t>
      </w:r>
    </w:p>
    <w:p w14:paraId="551812EB">
      <w:pPr>
        <w:jc w:val="left"/>
        <w:rPr>
          <w:rFonts w:ascii="宋体" w:hAnsi="宋体" w:eastAsia="宋体" w:cs="宋体"/>
          <w:b/>
          <w:color w:val="FF0000"/>
          <w:szCs w:val="21"/>
        </w:rPr>
      </w:pPr>
    </w:p>
    <w:p w14:paraId="7ECC46C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Cell Insight. 2026 Sep 6;5(5):100358. doi: 10.1016/j.cellin.2026.100358. </w:t>
      </w:r>
    </w:p>
    <w:p w14:paraId="11F6FBF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Oct.</w:t>
      </w:r>
    </w:p>
    <w:p w14:paraId="13F60D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6818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Making Mycobacterium tuberculosis killable: Operational survival phenotyping </w:t>
      </w:r>
    </w:p>
    <w:p w14:paraId="3CA876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beyond the persister metaphor.</w:t>
      </w:r>
    </w:p>
    <w:p w14:paraId="674AA4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6A10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 Y(1)(2), Cheng J(1)(2), Zhang W(1)(2), Li J(1)(2), Pu Y(1)(2).</w:t>
      </w:r>
    </w:p>
    <w:p w14:paraId="5366AF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1005A1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Yaqi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Jian Cheng,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Junyi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Yingying Pu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CFB67F4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 Corresponding author. E-mail address: yingyingpu@whu.edu.cn (Yingying Pu).</w:t>
      </w:r>
    </w:p>
    <w:p w14:paraId="735A99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6A13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1E1D2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(1)State Key Laboratory of Oral &amp; Maxillofacial Reconstruction and Regeneration, </w:t>
      </w:r>
    </w:p>
    <w:p w14:paraId="45F997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Key Laboratory of Oral Biomedicine Ministry of Education, Hubei Key Laboratory </w:t>
      </w:r>
    </w:p>
    <w:p w14:paraId="27AA64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Stomatology, School &amp; Hospital of Stomatology, Medical Research Institute, </w:t>
      </w:r>
    </w:p>
    <w:p w14:paraId="02F74B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Wuhan University, Wuhan, Hubei, 430071, China.</w:t>
      </w:r>
    </w:p>
    <w:p w14:paraId="694BD1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(2)Frontier Science Centre for Immunology and Metabolism, Wuhan University, </w:t>
      </w:r>
    </w:p>
    <w:p w14:paraId="0B53AA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Hubei, 430071, China.</w:t>
      </w:r>
    </w:p>
    <w:p w14:paraId="15139C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ED07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Why can genetically susceptible Mycobacterium tuberculosis (Mtb) survive months </w:t>
      </w:r>
    </w:p>
    <w:p w14:paraId="21277E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otherwise effective chemotherapy? The persister concept gave this problem a </w:t>
      </w:r>
    </w:p>
    <w:p w14:paraId="0973CF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powerful name, but its expanding use has increasingly blurred distinct causes of </w:t>
      </w:r>
    </w:p>
    <w:p w14:paraId="6672B9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residual survival. Slow killing, stress-adapted physiology, residence in </w:t>
      </w:r>
    </w:p>
    <w:p w14:paraId="76CBE2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protective host niches, inadequate local drug exposure, and the capacity to </w:t>
      </w:r>
    </w:p>
    <w:p w14:paraId="7A876A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recover after treatment can all leave viable bacilli behind, yet they do not </w:t>
      </w:r>
    </w:p>
    <w:p w14:paraId="30B8FB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represent the same therapeutic problem. The central challenge is therefore not </w:t>
      </w:r>
    </w:p>
    <w:p w14:paraId="1702A4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simply to detect survivors, but to connect these observations across treatment </w:t>
      </w:r>
    </w:p>
    <w:p w14:paraId="7EEF5B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determine where irreversible killing fails. We use State-Niche-Exposure-Fate </w:t>
      </w:r>
    </w:p>
    <w:p w14:paraId="1C47CD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(SNEF) to make this causal chain explicit, not to replace established assays or </w:t>
      </w:r>
    </w:p>
    <w:p w14:paraId="2379C4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definitions. Pyrazinamide serves as a worked model because its sterilizing </w:t>
      </w:r>
    </w:p>
    <w:p w14:paraId="5C140B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 reflects the interaction of bacterial State, lesion context, and </w:t>
      </w:r>
    </w:p>
    <w:p w14:paraId="073151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effective Exposure rather than conventional susceptibility alone. This shifts </w:t>
      </w:r>
    </w:p>
    <w:p w14:paraId="75466C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experimental question from whether Mtb is a "persister" to which step from </w:t>
      </w:r>
    </w:p>
    <w:p w14:paraId="72D9AB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susceptibility to irreversible death remains open. Closing that step may offer a </w:t>
      </w:r>
    </w:p>
    <w:p w14:paraId="3318D3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more direct route to durable sterilization and shorter tuberculosis therapy.</w:t>
      </w:r>
    </w:p>
    <w:p w14:paraId="1B00CF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1D27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Published by Elsevier B.V. on behalf of Wuhan University.</w:t>
      </w:r>
    </w:p>
    <w:p w14:paraId="1901DB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2E01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10.1016/j.cellin.2026.100358</w:t>
      </w:r>
    </w:p>
    <w:p w14:paraId="79C3CF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PMC13629190</w:t>
      </w:r>
    </w:p>
    <w:p w14:paraId="4A2319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42825073</w:t>
      </w:r>
    </w:p>
    <w:p w14:paraId="27E21F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259E5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mLife. 2026 Oct 1:10.1002/mlf2.70101. doi: 10.1002/mlf2.70101. Online ahead of print.</w:t>
      </w:r>
    </w:p>
    <w:p w14:paraId="0A05D2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BD58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z-VAD-FMK triggers macrophage necroptosis during mycobacterial infection via a </w:t>
      </w:r>
    </w:p>
    <w:p w14:paraId="2824D1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non-canonical off-target mechanism.</w:t>
      </w:r>
    </w:p>
    <w:p w14:paraId="72F0F3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4CAA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Hu R(1), Li P(1), Han J(1), Huang J(2), Huang G(2), Jiang X(3), Pfau D(3), Li </w:t>
      </w:r>
    </w:p>
    <w:p w14:paraId="6ACA5D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G(2), Gong YN(4)(5)(6), Nathan CF(3), Zhang L(1)(7).</w:t>
      </w:r>
    </w:p>
    <w:p w14:paraId="039371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BDDA96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Rong Hu,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Pei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Jie Han,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Jiamin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Guoyi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Xiuju Jiang,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Daniel Pfau,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Guobao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Yi-Nan Gong,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Carl F Nathan,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 Zhang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3A728C60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Correspondence: Li Zhang, zhangl3@sustech.edu.cn</w:t>
      </w:r>
    </w:p>
    <w:p w14:paraId="46D7C6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80BC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31B29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Immunology and Microbiology, School of Life Sciences Southern </w:t>
      </w:r>
    </w:p>
    <w:p w14:paraId="195C83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Science and Technology Shenzhen China.</w:t>
      </w:r>
    </w:p>
    <w:p w14:paraId="564209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(2)Shenzhen Third People's Hospital The Second Affiliated Hospital of Southern </w:t>
      </w:r>
    </w:p>
    <w:p w14:paraId="7C9FA9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Science and Technology Shenzhen China.</w:t>
      </w:r>
    </w:p>
    <w:p w14:paraId="52EFA7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Microbiology and Immunology Weill Cornell Medicine New York New </w:t>
      </w:r>
    </w:p>
    <w:p w14:paraId="7D89DE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York USA.</w:t>
      </w:r>
    </w:p>
    <w:p w14:paraId="622222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Immunology University of Pittsburgh School of Medicine </w:t>
      </w:r>
    </w:p>
    <w:p w14:paraId="0EC771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Pittsburgh Pennsylvania USA.</w:t>
      </w:r>
    </w:p>
    <w:p w14:paraId="2165F0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(5)Tumor Microenvironment Center, UPMC Hillman Cancer Center University of </w:t>
      </w:r>
    </w:p>
    <w:p w14:paraId="4C7FC7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Pittsburgh Pittsburgh Pennsylvania USA.</w:t>
      </w:r>
    </w:p>
    <w:p w14:paraId="572E5D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(6)Cancer Immunology and Immunotherapy Program UPMC Hillman Cancer Center </w:t>
      </w:r>
    </w:p>
    <w:p w14:paraId="1BE28A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Pittsburgh Pennsylvania USA.</w:t>
      </w:r>
    </w:p>
    <w:p w14:paraId="3254E3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(7)National Clinical Research Center for Infectious Diseases (SHENZHEN) Shenzhen </w:t>
      </w:r>
    </w:p>
    <w:p w14:paraId="3674E0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2F4C98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F174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Macrophages are the predominant cell type infected by Mycobacterium tuberculosis </w:t>
      </w:r>
    </w:p>
    <w:p w14:paraId="2F0992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(Mtb) in tuberculosis (TB). Death of Mtb-infected macrophages promotes tissue </w:t>
      </w:r>
    </w:p>
    <w:p w14:paraId="084771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pathology and releases Mtb to infect other cells, suggesting that inhibiting the </w:t>
      </w:r>
    </w:p>
    <w:p w14:paraId="5D6722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death of Mtb-infected macrophages could be an adjunctive treatment of TB. </w:t>
      </w:r>
    </w:p>
    <w:p w14:paraId="73ADF2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Prospects for such an intervention depend on identifying the molecular pathways </w:t>
      </w:r>
    </w:p>
    <w:p w14:paraId="00CED9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leading to cell death. We previously reported that the death of Mtb-infected </w:t>
      </w:r>
    </w:p>
    <w:p w14:paraId="167558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mouse macrophages in vitro depends on type I interferons (IFNs) and lysosomal </w:t>
      </w:r>
    </w:p>
    <w:p w14:paraId="7609BF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membrane permeabilization contributes to cell death. Here, we report that the </w:t>
      </w:r>
    </w:p>
    <w:p w14:paraId="7B07D8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death of Mtb-infected primary mouse macrophages in vitro became necroptotic in </w:t>
      </w:r>
    </w:p>
    <w:p w14:paraId="260CC7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presence of a pan-caspase inhibitor, benzyloxycarbonyl-Val-Ala-Asp-fluoromethylketone (z-VAD-FMK, hereafter called z-VAD) acting on a target other than caspase-8. Macrophages infected with Mycobacterium kansasii or Rhodococcus equi likewise underwent z-VAD-dependent necroptosis. In TB-resistant C57BL/6 mice, the deficiency of the key necroptosis executioner, mixed lineage kinase domain-like (MLKL), did not affect bacterial burden or pulmonary pathology. In contrast, in mice lacking the IFN repressor SP140, which express high levels of type I IFNs after Mtb infection and develop necrotic pulmonary lesions, MLKL-deficiency reduced bacterial burden and pathology after high-dose infection. This report illustrates that off-target action(s) of a caspase-8 inhibitor can switch the cell death pathway to necroptosis in macrophages infected with several Gram-positive pathogens and highlights that necroptosis can exacerbate TB. Identifying the target of z-VAD may help to delineate how necrotic lesions form in TB.</w:t>
      </w:r>
    </w:p>
    <w:p w14:paraId="3F8FEE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8485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 The Author(s). mLife published by John Wiley &amp; Sons Australia, Ltd on </w:t>
      </w:r>
    </w:p>
    <w:p w14:paraId="3DAE7F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behalf of Institute of Microbiology, Chinese Academy of Sciences.</w:t>
      </w:r>
    </w:p>
    <w:p w14:paraId="53D5F8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AFB3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10.1002/mlf2.70101</w:t>
      </w:r>
    </w:p>
    <w:p w14:paraId="3237D7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PMC13628176</w:t>
      </w:r>
    </w:p>
    <w:p w14:paraId="4FFB9F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42824841</w:t>
      </w:r>
    </w:p>
    <w:p w14:paraId="7BE3A1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876BF1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Eye (Lond). 2026 Oct 1. doi: 10.1038/s41433-026-04875-6. Online ahead of print.</w:t>
      </w:r>
    </w:p>
    <w:p w14:paraId="067C86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7136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Choroidal tuberculoma as an initial presenting sign of miliary tuberculosis.</w:t>
      </w:r>
    </w:p>
    <w:p w14:paraId="119D90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392E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Zhou N(1), Yang L(1), Wei W(2).</w:t>
      </w:r>
    </w:p>
    <w:p w14:paraId="1CE8ED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C83106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Nan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Lihong Yang,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Wenbin Wei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3F232C35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Wenbin Wei.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weiwenbintr@163.com.</w:t>
      </w:r>
    </w:p>
    <w:p w14:paraId="5A8426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9A02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EE8D4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(1)Beijing Tongren Eye Center, Beijing Key Laboratory of Intraocular Tumor </w:t>
      </w:r>
    </w:p>
    <w:p w14:paraId="3E3D2B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Diagnosis and Treatment, Beijing Tongren Hospital, Capital Medical University, </w:t>
      </w:r>
    </w:p>
    <w:p w14:paraId="759233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Beijing, China.</w:t>
      </w:r>
    </w:p>
    <w:p w14:paraId="1E9ADD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(2)Beijing Tongren Eye Center, Beijing Key Laboratory of Intraocular Tumor </w:t>
      </w:r>
    </w:p>
    <w:p w14:paraId="100724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Diagnosis and Treatment, Beijing Tongren Hospital, Capital Medical University, </w:t>
      </w:r>
    </w:p>
    <w:p w14:paraId="013812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Beijing, China. weiwenbintr@163.com.</w:t>
      </w:r>
    </w:p>
    <w:p w14:paraId="586767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876A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10.1038/s41433-026-04875-6</w:t>
      </w:r>
    </w:p>
    <w:p w14:paraId="7D37CA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42823518</w:t>
      </w:r>
    </w:p>
    <w:p w14:paraId="3A18A9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8BDA9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Genomics Proteomics Bioinformatics. 2026 Oct 1:qzag102. doi: </w:t>
      </w:r>
    </w:p>
    <w:p w14:paraId="015B0B9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10.1093/gpbjnl/qzag102. Online ahead of print.</w:t>
      </w:r>
    </w:p>
    <w:p w14:paraId="0095D2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0D40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MTB-KB: A Curated Knowledgebase of Mycobacterium tuberculosis Related Studies.</w:t>
      </w:r>
    </w:p>
    <w:p w14:paraId="5953CC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E81A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 P(1)(2)(3), Li C(1)(2), Zhu R(4), Sun W(5), Zhou H(1)(2)(3), Fan Z(1)(2), Yue </w:t>
      </w:r>
    </w:p>
    <w:p w14:paraId="0A781C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L(1)(2), Zhang S(5), Jiang X(1)(2), Luo Q(5), Han J(5), Huang H(6), Shen A(7), </w:t>
      </w:r>
    </w:p>
    <w:p w14:paraId="642ED8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Tuohetaerbaike B(8), Wang J(8), Zhang W(8), Wen H(8), Niu H(9), Bu C(1)(2), </w:t>
      </w:r>
    </w:p>
    <w:p w14:paraId="7F96E8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Zhang Z(1)(2)(3), Xiao J(1)(2)(3), Gao R(5), Chen F(1)(2)(3)(8)(9).</w:t>
      </w:r>
    </w:p>
    <w:p w14:paraId="2B835E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FE499B">
      <w:pP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Pan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Cuidan Li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Rongxi Zhu,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Wenjing Sun,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Hengyu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Zhuojing Fan,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Liya Yue,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Sijia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Xiaoyuan Jiang,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Quan Luo,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Jinying Han,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Hairong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Adong Shen,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Bahetibieke Tuohetaerbaike,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Wenbao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Hao Wen,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Haitao Niu,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Congfan Bu,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Zhang Zhang, Jingfa Xiao, Renjun Gao*, Fei Chen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2E49250E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*Corresponding authors: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chenfei@big.ac.cn(Fei Chen),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gaorj@jlu.edu.cn(Renjun Gao),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licuidan@big.ac.cn(Cuidan Li).</w:t>
      </w:r>
    </w:p>
    <w:p w14:paraId="44F738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04BF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4B46A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(1)China National Center for Bioinformation, Beijing 100101, China.</w:t>
      </w:r>
    </w:p>
    <w:p w14:paraId="1C0FF8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(2)Beijing Institute of Genomics, Chinese Academy of Sciences, Beijing 100101, </w:t>
      </w:r>
    </w:p>
    <w:p w14:paraId="58EAFD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35DF67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(3)University of Chinese Academy of Sciences, Beijing 100049, China.</w:t>
      </w:r>
    </w:p>
    <w:p w14:paraId="6048A5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(4)School of Life Science and Bio-Pharmaceutics, Shenyang Pharmaceutical </w:t>
      </w:r>
    </w:p>
    <w:p w14:paraId="5F215A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Shenyang 110016, China.</w:t>
      </w:r>
    </w:p>
    <w:p w14:paraId="0E4572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(5)Key Laboratory for Molecular Enzymology and Engineering of Ministry of </w:t>
      </w:r>
    </w:p>
    <w:p w14:paraId="25283A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Education, School of Life Sciences, Jilin University, Changchun 130021, China.</w:t>
      </w:r>
    </w:p>
    <w:p w14:paraId="0995A4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(6)National Clinical Laboratory on Tuberculosis, Beijing Key Laboratory for </w:t>
      </w:r>
    </w:p>
    <w:p w14:paraId="64EC8E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 Research, Beijing Chest Hospital, Capital Medical </w:t>
      </w:r>
    </w:p>
    <w:p w14:paraId="636DF4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University, Beijing Tuberculosis and Thoracic Tumor Institute, Beijing 101149, </w:t>
      </w:r>
    </w:p>
    <w:p w14:paraId="053FDD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240C53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(7)Key Laboratory of Major Diseases in Children, Ministry of Education, National </w:t>
      </w:r>
    </w:p>
    <w:p w14:paraId="63325D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Key Discipline of Pediatrics (Capital Medical University), Beijing Key </w:t>
      </w:r>
    </w:p>
    <w:p w14:paraId="46EBC5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Laboratory of Pediatric Respiratory Infection Diseases, Beijing Pediatric </w:t>
      </w:r>
    </w:p>
    <w:p w14:paraId="1BCB3A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Institute, Beijing Children's Hospital, Capital Medical University, </w:t>
      </w:r>
    </w:p>
    <w:p w14:paraId="2E997A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Beijing 100020, China.</w:t>
      </w:r>
    </w:p>
    <w:p w14:paraId="3576BA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(8)State Key Laboratory of Pathogenesis, Prevention and Treatment of High </w:t>
      </w:r>
    </w:p>
    <w:p w14:paraId="5FA54A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Incidence Diseases in Central Asia, Clinical Medicine Institute, The First </w:t>
      </w:r>
    </w:p>
    <w:p w14:paraId="52D034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Affiliated Hospital of Xinjiang Medical University, Urumqi 830013, China.</w:t>
      </w:r>
    </w:p>
    <w:p w14:paraId="3EA8AC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(9)Key Laboratory of Viral Pathogenesis &amp; Infection Prevention and Control </w:t>
      </w:r>
    </w:p>
    <w:p w14:paraId="4184BD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(Jinan University), Ministry of Education, Jinan University, Guangzhou 510632, </w:t>
      </w:r>
    </w:p>
    <w:p w14:paraId="230213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3BE4B8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EB4A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caused by Mycobacterium tuberculosis (MTB), has regained its </w:t>
      </w:r>
    </w:p>
    <w:p w14:paraId="21DCAA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position as the world's leading killer among infectious diseases. Despite </w:t>
      </w:r>
    </w:p>
    <w:p w14:paraId="7EEAA3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extensive research progress across epidemiology, diagnosis, drug development, </w:t>
      </w:r>
    </w:p>
    <w:p w14:paraId="400D13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regimens, vaccines, drug resistance, virulence factors, and immune </w:t>
      </w:r>
    </w:p>
    <w:p w14:paraId="7E4CE8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mechanisms, MTB-related knowledge remains fragmented across thousands of </w:t>
      </w:r>
    </w:p>
    <w:p w14:paraId="70D77F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publications, limiting its application in research and clinical practice. To </w:t>
      </w:r>
    </w:p>
    <w:p w14:paraId="30C0B5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address this gap, we present MTB-KB, a literature-curated knowledgebase that </w:t>
      </w:r>
    </w:p>
    <w:p w14:paraId="6FC6C6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systematically integrates high-impact findings from eight major sections of TB </w:t>
      </w:r>
    </w:p>
    <w:p w14:paraId="41AADA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research. The current release contains 75,170 associations from 1246 </w:t>
      </w:r>
    </w:p>
    <w:p w14:paraId="67A19E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publications, covering 18,439 entities standardized using authoritative </w:t>
      </w:r>
    </w:p>
    <w:p w14:paraId="1DC226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databases and WHO-endorsed classifications. A central feature is the interactive </w:t>
      </w:r>
    </w:p>
    <w:p w14:paraId="64F9A3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knowledge graph, which links cross-section associations to reveal and visualize </w:t>
      </w:r>
    </w:p>
    <w:p w14:paraId="227442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MTB-host interactions, treatment strategies, and vaccine development </w:t>
      </w:r>
    </w:p>
    <w:p w14:paraId="12E560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opportunities. MTB-KB also provides a user-friendly interface with browsing, </w:t>
      </w:r>
    </w:p>
    <w:p w14:paraId="57EC79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advanced search, and statistical visualization. Overall, by consolidating </w:t>
      </w:r>
    </w:p>
    <w:p w14:paraId="18D320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dispersed MTB knowledge into a structured and accessible platform, MTB-KB </w:t>
      </w:r>
    </w:p>
    <w:p w14:paraId="552A1D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provides a valuable resource for researchers, clinicians, and policymakers, </w:t>
      </w:r>
    </w:p>
    <w:p w14:paraId="1D8D46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supporting both basic and clinical TB research, enabling evidence-based TB </w:t>
      </w:r>
    </w:p>
    <w:p w14:paraId="6BD9A8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prevention, diagnosis, and treatment, and contributing to global elimination </w:t>
      </w:r>
    </w:p>
    <w:p w14:paraId="724D8D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efforts. MTB-KB is accessible at https://ngdc.cncb.ac.cn/mtbkb/.</w:t>
      </w:r>
    </w:p>
    <w:p w14:paraId="5D0FBD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6AF1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 2026. Published by Oxford University Press and Science Press on </w:t>
      </w:r>
    </w:p>
    <w:p w14:paraId="643A8D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behalf of the Beijing Institute of Genomics, Chinese Academy of Sciences / China </w:t>
      </w:r>
    </w:p>
    <w:p w14:paraId="036797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National Center for Bioinformation and Genetics Society of China.</w:t>
      </w:r>
    </w:p>
    <w:p w14:paraId="6CE8AB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C230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10.1093/gpbjnl/qzag102</w:t>
      </w:r>
    </w:p>
    <w:p w14:paraId="391F96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42820792</w:t>
      </w:r>
    </w:p>
    <w:p w14:paraId="134656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09CFF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JAC Antimicrob Resist. 2026 Sep 30;8(5):dlag211. doi: 10.1093/jacamr/dlag211. </w:t>
      </w:r>
    </w:p>
    <w:p w14:paraId="325B959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Oct.</w:t>
      </w:r>
    </w:p>
    <w:p w14:paraId="67E419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801CD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Mutations in dfrA and its upstream region are associated with </w:t>
      </w:r>
    </w:p>
    <w:p w14:paraId="752D55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para-aminosalicylic acid resistance in Mycobacterium tuberculosis.</w:t>
      </w:r>
    </w:p>
    <w:p w14:paraId="7C79BB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AF6BE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Zeng R(1), Ullah N(2)(3), Gu J(2), Deng JY(2).</w:t>
      </w:r>
    </w:p>
    <w:p w14:paraId="09F86F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0D8969C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Rong Zeng,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Najeeb Ullah,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Jing Gu,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Jiao-Yu Deng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F4F25FF">
      <w:pP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*Corresponding author. E-mail: dengjy@wh.iov.cn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Jiao-Yu Deng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）</w:t>
      </w:r>
    </w:p>
    <w:p w14:paraId="2F72EA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E32F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A7009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Laboratory Medicine, Chest Hospital of Guangxi Zhuang </w:t>
      </w:r>
    </w:p>
    <w:p w14:paraId="2E2A59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Autonomous Region, Liuzhou, Guangxi, 545005, China.</w:t>
      </w:r>
    </w:p>
    <w:p w14:paraId="754961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(2)Wuhan Institute of Virology, Chinese Academy of Sciences, Wuhan 430071, </w:t>
      </w:r>
    </w:p>
    <w:p w14:paraId="14B32A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78E41F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(3)University of Chinese Academy of Sciences, Beijing 100049, China.</w:t>
      </w:r>
    </w:p>
    <w:p w14:paraId="7C84B8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C3E8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para-Aminosalicylic acid is an antifolate prodrug activated in the </w:t>
      </w:r>
    </w:p>
    <w:p w14:paraId="04E05F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folate biosynthesis pathway of Mycobacterium tuberculosis (Mtb), ultimately </w:t>
      </w:r>
    </w:p>
    <w:p w14:paraId="6C4ECA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inhibiting dihydrofolate reductase encoded by dfrA. Mutations in dfrA coding and </w:t>
      </w:r>
    </w:p>
    <w:p w14:paraId="754911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upstream regions have not been thoroughly investigated. This study aimed to </w:t>
      </w:r>
    </w:p>
    <w:p w14:paraId="2F7B7C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 mutations in dfrA and its upstream regulatory region in clinical Mtb </w:t>
      </w:r>
    </w:p>
    <w:p w14:paraId="58C6B9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isolates.</w:t>
      </w:r>
    </w:p>
    <w:p w14:paraId="1DCC3A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retrieved and analysed 6547 whole-genome sequences of Mtb clinical </w:t>
      </w:r>
    </w:p>
    <w:p w14:paraId="27BBF0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isolates. We identified 29 SNPs in the dfrA coding region and eight mutations in </w:t>
      </w:r>
    </w:p>
    <w:p w14:paraId="6C904A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thyA-dfrA upstream region. The most prevalent coding mutations and upstream </w:t>
      </w:r>
    </w:p>
    <w:p w14:paraId="2627EB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mutations were selected for functional evaluation using thermal stability </w:t>
      </w:r>
    </w:p>
    <w:p w14:paraId="51B252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analysis, GFP reporter assays and para-aminosalicylic acid drug susceptibility </w:t>
      </w:r>
    </w:p>
    <w:p w14:paraId="448891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test (DST).</w:t>
      </w:r>
    </w:p>
    <w:p w14:paraId="495D1C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coding mutations Trp142→Gly, Gln28→Leu and Arg32→Pro were analysed </w:t>
      </w:r>
    </w:p>
    <w:p w14:paraId="1AF19B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protein thermal stability and para-aminosalicylic acid susceptibility. </w:t>
      </w:r>
    </w:p>
    <w:p w14:paraId="573B82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Gln28→Leu showed increased thermal stability relative to the WT, whereas </w:t>
      </w:r>
    </w:p>
    <w:p w14:paraId="2AAFA4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Trp142→Gly and Arg32→Pro exhibited reduced stability. Consistently, </w:t>
      </w:r>
    </w:p>
    <w:p w14:paraId="200592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para-aminosalicylic acid DST demonstrated that Gln28→Leu conferred an 8-fold </w:t>
      </w:r>
    </w:p>
    <w:p w14:paraId="77413A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 in para-aminosalicylic acid resistance, while Trp142→Gly and Arg32→Pro remained phenotypically susceptible. Moreover, GFP reporter assays revealed that G70T, G59T and C48A increased promoter activity by 13-fold, 4-fold and 3-fold, respectively, whereas the remaining mutations showed no significant effect. </w:t>
      </w:r>
    </w:p>
    <w:p w14:paraId="4197AE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were verified by para-aminosalicylic acid DST, where G70T, G59T and </w:t>
      </w:r>
    </w:p>
    <w:p w14:paraId="31A057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C48A showed para-aminosalicylic acid resistance compared with WT.</w:t>
      </w:r>
    </w:p>
    <w:p w14:paraId="655C03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By integrating genomic analysis with functional assays of thermal </w:t>
      </w:r>
    </w:p>
    <w:p w14:paraId="691EC1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stability, promoter activity and drug susceptibility, this study demonstrated </w:t>
      </w:r>
    </w:p>
    <w:p w14:paraId="5190FC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mutations in dfrA coding and upstream regulatory regions contribute to </w:t>
      </w:r>
    </w:p>
    <w:p w14:paraId="05814F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para-aminosalicylic acid resistance in Mtb clinical isolates.</w:t>
      </w:r>
    </w:p>
    <w:p w14:paraId="2A78D1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D8C0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 2026. Published by Oxford University Press on behalf of British </w:t>
      </w:r>
    </w:p>
    <w:p w14:paraId="76ABEC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Society for Antimicrobial Chemotherapy.</w:t>
      </w:r>
    </w:p>
    <w:p w14:paraId="291B58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3B5D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10.1093/jacamr/dlag211</w:t>
      </w:r>
    </w:p>
    <w:p w14:paraId="420F00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PMC13624660</w:t>
      </w:r>
    </w:p>
    <w:p w14:paraId="49BC3F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42818992</w:t>
      </w:r>
    </w:p>
    <w:p w14:paraId="2B7924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C794C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J Glob Antimicrob Resist. 2026 Sep 30:S2213-7165(26)00178-5. doi: </w:t>
      </w:r>
    </w:p>
    <w:p w14:paraId="591C600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10.1016/j.jgar.2026.09.010. Online ahead of print.</w:t>
      </w:r>
    </w:p>
    <w:p w14:paraId="006065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B30C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Global Emergence and Expansion of the Beijing Lineage of Mycobacterium </w:t>
      </w:r>
    </w:p>
    <w:p w14:paraId="25E12A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tuberculosis: A Systematic Review and Meta-Analysis.</w:t>
      </w:r>
    </w:p>
    <w:p w14:paraId="5FFC5A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AD63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Yang R(1), Bao F(2), Chen Z(1), Wu H(1), Zhu L(1), Bao RA(3), Huang X(4), Peng </w:t>
      </w:r>
    </w:p>
    <w:p w14:paraId="133105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L(1), Liu A(5).</w:t>
      </w:r>
    </w:p>
    <w:p w14:paraId="0BA813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9826D9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Rui Yang,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Fukai Bao,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Zhiqiang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Hanxin Wu,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Liangyu Zhu,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Rui-An Bao,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Xun Huang,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 Peng,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Aihua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38E98C2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Correspondence:  Prof. Aihua Liu, E-mail: liuaihua@kmmu.edu.cn    </w:t>
      </w:r>
    </w:p>
    <w:p w14:paraId="64C9A1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E5A0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57020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(1)Yunnan Province Key Laboratory of Children's Major Diseases Research, </w:t>
      </w:r>
    </w:p>
    <w:p w14:paraId="331B6E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Pathogen Biology and Immunology, Faculty of Basic Medicine, </w:t>
      </w:r>
    </w:p>
    <w:p w14:paraId="1E339F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Kunming Medical University, Kunming 650500, China.</w:t>
      </w:r>
    </w:p>
    <w:p w14:paraId="13C80D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(2)Yunnan Province Key Laboratory of Children's Major Diseases Research, </w:t>
      </w:r>
    </w:p>
    <w:p w14:paraId="364671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Pathogen Biology and Immunology, Faculty of Basic Medicine, </w:t>
      </w:r>
    </w:p>
    <w:p w14:paraId="753176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Kunming Medical University, Kunming 650500, China; Department of Microbiology </w:t>
      </w:r>
    </w:p>
    <w:p w14:paraId="140058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Immunology, The Research Center of Evidence-based Medicine and Translational </w:t>
      </w:r>
    </w:p>
    <w:p w14:paraId="2E97C6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Applications, Kunming Medical University Haiyuan College, Kunming 650101, China.</w:t>
      </w:r>
    </w:p>
    <w:p w14:paraId="4EFABB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(3)School of Basic Medical Sciences, Kunming Medical University, 1168 West </w:t>
      </w:r>
    </w:p>
    <w:p w14:paraId="2735FC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Chunrong Road, Yuhua Avenue, Chenggong District, Kunming 650500, Yunnan, </w:t>
      </w:r>
    </w:p>
    <w:p w14:paraId="0682FA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People's Republic of China.</w:t>
      </w:r>
    </w:p>
    <w:p w14:paraId="3E23E9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(4)Yunnan Province Key Laboratory of Children's Major Diseases Research, </w:t>
      </w:r>
    </w:p>
    <w:p w14:paraId="6459F1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Pathogen Biology and Immunology, Faculty of Basic Medicine, </w:t>
      </w:r>
    </w:p>
    <w:p w14:paraId="6053FD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Kunming Medical University, Kunming 650500, China; Department of Microbiology </w:t>
      </w:r>
    </w:p>
    <w:p w14:paraId="226F05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Immunology, The Research Center of Evidence-based Medicine and Translational </w:t>
      </w:r>
    </w:p>
    <w:p w14:paraId="6A2531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Applications, Kunming Medical University Haiyuan College, Kunming 650101, China; </w:t>
      </w:r>
    </w:p>
    <w:p w14:paraId="34AC2A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School of Basic Medical Sciences, Kunming Medical University, 1168 West Chunrong </w:t>
      </w:r>
    </w:p>
    <w:p w14:paraId="713A8C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Road, Yuhua Avenue, Chenggong District, Kunming 650500, Yunnan, People's </w:t>
      </w:r>
    </w:p>
    <w:p w14:paraId="54D9D0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Republic of China.</w:t>
      </w:r>
    </w:p>
    <w:p w14:paraId="1E847F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(5)Yunnan Province Key Laboratory of Children's Major Diseases Research, </w:t>
      </w:r>
    </w:p>
    <w:p w14:paraId="5DDB01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Pathogen Biology and Immunology, Faculty of Basic Medicine, </w:t>
      </w:r>
    </w:p>
    <w:p w14:paraId="3DD5F9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Kunming Medical University, Kunming 650500, China. Electronic address: </w:t>
      </w:r>
    </w:p>
    <w:p w14:paraId="0E3ABB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liuaihua@kmmu.edu.cn.</w:t>
      </w:r>
    </w:p>
    <w:p w14:paraId="67E0F9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0135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Beijing Lineage of Mycobacterium tuberculosis is a globally </w:t>
      </w:r>
    </w:p>
    <w:p w14:paraId="06345B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widespread family of strains, notable for its high transmissibility and </w:t>
      </w:r>
    </w:p>
    <w:p w14:paraId="37C9DC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association with multidrug resistance. Its ongoing expansion threatens global </w:t>
      </w:r>
    </w:p>
    <w:p w14:paraId="68F61A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control, necessitating an updated understanding of its prevalence </w:t>
      </w:r>
    </w:p>
    <w:p w14:paraId="7B298A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distribution to guide public health interventions.</w:t>
      </w:r>
    </w:p>
    <w:p w14:paraId="0AA703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conducted a systematic review and meta-analysis following PRISMA </w:t>
      </w:r>
    </w:p>
    <w:p w14:paraId="708B29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guidelines, searching PubMed, Embase, Web of Science, and Scopus for </w:t>
      </w:r>
    </w:p>
    <w:p w14:paraId="356D02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genotyping-based studies on Beijing Lineage prevalence published before December </w:t>
      </w:r>
    </w:p>
    <w:p w14:paraId="6186FA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31, 2024. Pooled prevalence was calculated using a random-effects model. </w:t>
      </w:r>
    </w:p>
    <w:p w14:paraId="3DE764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Subgroup analyses were performed by Molecular typing method, WHO region, and </w:t>
      </w:r>
    </w:p>
    <w:p w14:paraId="07B1C3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time period. Heterogeneity (I²) and publication bias were assessed.</w:t>
      </w:r>
    </w:p>
    <w:p w14:paraId="529D2F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Analysis of 356 studies yielded a global pooled Beijing Lineage </w:t>
      </w:r>
    </w:p>
    <w:p w14:paraId="68CD55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 of 41% (95% CI 38%-43%), but this estimate should be interpreted with </w:t>
      </w:r>
    </w:p>
    <w:p w14:paraId="14EE97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caution given substantial heterogeneity (I² = 99.8%) and publication </w:t>
      </w:r>
    </w:p>
    <w:p w14:paraId="659CB7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bias.Prevalence varied significantly by WHO region, being highest in the Western </w:t>
      </w:r>
    </w:p>
    <w:p w14:paraId="2B0075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Pacific (63%) and lowest in the Eastern Mediterranean (6%). High-resolution </w:t>
      </w:r>
    </w:p>
    <w:p w14:paraId="5E870A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genotyping (whole-genome sequencing) reported a higher prevalence (47%) compared </w:t>
      </w:r>
    </w:p>
    <w:p w14:paraId="7DC625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low-resolution methods (31%), suggesting that WGS should be considered the </w:t>
      </w:r>
    </w:p>
    <w:p w14:paraId="17DB43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gold standard for accurate detection. A temporal peak of 48% was observed in </w:t>
      </w:r>
    </w:p>
    <w:p w14:paraId="1EAF2A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2014-2018, declining to 42% in 2019-2024, potentially linked to COVID-19 </w:t>
      </w:r>
    </w:p>
    <w:p w14:paraId="551720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disruptions. WHO region was the primary source of heterogeneity. Publication </w:t>
      </w:r>
    </w:p>
    <w:p w14:paraId="63A77E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bias was present.</w:t>
      </w:r>
    </w:p>
    <w:p w14:paraId="3A138F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systematic evaluation demonstrated a 41% global prevalence of </w:t>
      </w:r>
    </w:p>
    <w:p w14:paraId="1EBA1B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Beijing lineage of M.tuberculosis with substantial geographical variation </w:t>
      </w:r>
    </w:p>
    <w:p w14:paraId="45FFCE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the critical impact of genotyping methodology on prevalence estimates, </w:t>
      </w:r>
    </w:p>
    <w:p w14:paraId="215710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providing essential evidence for targeted tuberculosis control strategies.</w:t>
      </w:r>
    </w:p>
    <w:p w14:paraId="3B86E7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3A12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Ltd.</w:t>
      </w:r>
    </w:p>
    <w:p w14:paraId="4D2EE7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C978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10.1016/j.jgar.2026.09.010</w:t>
      </w:r>
    </w:p>
    <w:p w14:paraId="4E4600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42815830</w:t>
      </w:r>
    </w:p>
    <w:p w14:paraId="7C88E2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672F1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Clin Spine Surg. 2026 Sep 28. doi: 10.1097/BSD.0000000000002184. Online ahead of print.</w:t>
      </w:r>
    </w:p>
    <w:p w14:paraId="59DE0A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1DAA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Novel Classification of Single-segment Thoracolumbar Tuberculosis and Its </w:t>
      </w:r>
    </w:p>
    <w:p w14:paraId="5277E4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Reliability Analysis: A Multicenter Study.</w:t>
      </w:r>
    </w:p>
    <w:p w14:paraId="415E9A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8EB0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 J(1)(2), Jiang H(1)(3), Liu Y(1)(3), Xue X(4), Zhou Z(5), Feng F(6), Du </w:t>
      </w:r>
    </w:p>
    <w:p w14:paraId="5A2FD9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L(1)(3), Xiong X(1), Chen J(1)(3), Zhou R(1)(3), Zhang N(7), Liu Z(1)(3), Liu </w:t>
      </w:r>
    </w:p>
    <w:p w14:paraId="090952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J(1)(3).</w:t>
      </w:r>
    </w:p>
    <w:p w14:paraId="258276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C0937E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Jiani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Haoxin Jiang,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Xuhong Xue,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Zhiqiang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Fan Feng,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Liuxue Du,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 Xiong,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Jiangwei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Rongping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Ning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Zhili Liu,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Jiaming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689DB47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Jiaming Liu, MD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(e-mail: liujiamingdr@hotmail.com).</w:t>
      </w:r>
    </w:p>
    <w:p w14:paraId="66CDB9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6B34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3F201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Orthopaedic Surgery, the First Affiliated Hospital, Jiangxi </w:t>
      </w:r>
    </w:p>
    <w:p w14:paraId="6A9A6C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College, Nanchang University.</w:t>
      </w:r>
    </w:p>
    <w:p w14:paraId="5C54D3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(2)The First Clinical Medical College, Jiangxi Medical College, Nanchang </w:t>
      </w:r>
    </w:p>
    <w:p w14:paraId="5EFFFF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University.</w:t>
      </w:r>
    </w:p>
    <w:p w14:paraId="72AF0C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(3)Jiangxi Provincial Key Laboratory of Spine and Spinal Cord Disease, Nanchang.</w:t>
      </w:r>
    </w:p>
    <w:p w14:paraId="0D940A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Orthopaedic Surgery, the Second Hospital of Shanxi Medical </w:t>
      </w:r>
    </w:p>
    <w:p w14:paraId="279952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Taiyuan.</w:t>
      </w:r>
    </w:p>
    <w:p w14:paraId="76E61C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Orthopedics, the Second Affiliated Hospital of Soochow </w:t>
      </w:r>
    </w:p>
    <w:p w14:paraId="28A1D5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Suzhou.</w:t>
      </w:r>
    </w:p>
    <w:p w14:paraId="5B95CA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Spine Surgery, Renji Hospital, Shanghai Jiaotong University </w:t>
      </w:r>
    </w:p>
    <w:p w14:paraId="21D414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School of Medicine, Shanghai.</w:t>
      </w:r>
    </w:p>
    <w:p w14:paraId="15E523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Radiology, the First Affiliated Hospital, Jiangxi Medical </w:t>
      </w:r>
    </w:p>
    <w:p w14:paraId="1E759A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College, Nanchang University, Nanchang, PR China.</w:t>
      </w:r>
    </w:p>
    <w:p w14:paraId="53D3DE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BD16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STUDY DESIGN: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multicenter retrospective study.</w:t>
      </w:r>
    </w:p>
    <w:p w14:paraId="12B534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study aims to propose a novel classification for single-segment </w:t>
      </w:r>
    </w:p>
    <w:p w14:paraId="6B8B30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thoracolumbar tuberculosis (TLTB) and test its reliability for clinical </w:t>
      </w:r>
    </w:p>
    <w:p w14:paraId="14C894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application.</w:t>
      </w:r>
    </w:p>
    <w:p w14:paraId="5EE506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SUMMARY OF BACKGROUND DATA: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classifications of spinal tuberculosis reported </w:t>
      </w:r>
    </w:p>
    <w:p w14:paraId="4644E6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by studies exhibit certain limitations with low utilization.</w:t>
      </w:r>
    </w:p>
    <w:p w14:paraId="71FA33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proposed classification included 3 types of single-segment TLTB </w:t>
      </w:r>
    </w:p>
    <w:p w14:paraId="1FE97F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based on lesion extent, vertebral and/or intervertebral disc height loss, </w:t>
      </w:r>
    </w:p>
    <w:p w14:paraId="19304B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sagittal index, spinal instability, and neurological deficit: type I, involves </w:t>
      </w:r>
    </w:p>
    <w:p w14:paraId="724849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 intervertebral disc or a single vertebral body or an intervertebral disc </w:t>
      </w:r>
    </w:p>
    <w:p w14:paraId="3632AE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along with its adjacent superior and inferior vertebrae, without spinal </w:t>
      </w:r>
    </w:p>
    <w:p w14:paraId="7C2BBD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instability, subdivided into 3 subtypes according to lesion extent; type II </w:t>
      </w:r>
    </w:p>
    <w:p w14:paraId="26087B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involves the affected segment with concomitant spinal instability, divided into </w:t>
      </w:r>
    </w:p>
    <w:p w14:paraId="09AFD1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 subtypes according to lesion extent and bone defects; type III involves an </w:t>
      </w:r>
    </w:p>
    <w:p w14:paraId="53217B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intervertebral disc and its adjacent superior and inferior vertebrae, with </w:t>
      </w:r>
    </w:p>
    <w:p w14:paraId="538917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spinal instability and kyphosis, divided into 3 subtypes according to bone </w:t>
      </w:r>
    </w:p>
    <w:p w14:paraId="000415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defects. The reliability of the classification was assessed by 10 observers </w:t>
      </w:r>
    </w:p>
    <w:p w14:paraId="295E4E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twice from different institutions at a 1-month interval. The Fleiss Kappa </w:t>
      </w:r>
    </w:p>
    <w:p w14:paraId="7908B8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coefficient and Spearman correlation analysis were performed.</w:t>
      </w:r>
    </w:p>
    <w:p w14:paraId="35C1B6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total of 210 patients were included in study, with type Ia (16 cases, </w:t>
      </w:r>
    </w:p>
    <w:p w14:paraId="699F5B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7.6%), type Ib (19 cases, 9.0%), type Ic (24 cases, 11.4%), type IIa (20 cases, </w:t>
      </w:r>
    </w:p>
    <w:p w14:paraId="186438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9.5%), type IIb (23 cases, 11.0%), type IIc (19 cases, 9.0%), type IId (28 </w:t>
      </w:r>
    </w:p>
    <w:p w14:paraId="6565FB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cases, 13.3%), type IIIa (19 cases, 9.0%), type IIIb (24 cases, 11.4%), and type </w:t>
      </w:r>
    </w:p>
    <w:p w14:paraId="2AA2E7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IIIc (18 cases, 8.6%). Interobserver reliability was "nearly perfect," with a </w:t>
      </w:r>
    </w:p>
    <w:p w14:paraId="4FE291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mean Fleiss Kappa coefficient of 0.85, and all Spearman correlation coefficients </w:t>
      </w:r>
    </w:p>
    <w:p w14:paraId="6AE2D5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exceeded 0.9. Intraobserver reliability was also "nearly perfect," with a mean </w:t>
      </w:r>
    </w:p>
    <w:p w14:paraId="61C448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Fleiss Kappa coefficient of 0.88 and a mean Spearman correlation coefficient of </w:t>
      </w:r>
    </w:p>
    <w:p w14:paraId="0FC1F2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0.97.</w:t>
      </w:r>
    </w:p>
    <w:p w14:paraId="0C774E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The proposed classification demonstrates excellent reliability and </w:t>
      </w:r>
    </w:p>
    <w:p w14:paraId="110A04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provides a standardized framework for single-segment TLTB.</w:t>
      </w:r>
    </w:p>
    <w:p w14:paraId="63475A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D37C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Wolters Kluwer Health, LLC. All rights reserved.</w:t>
      </w:r>
    </w:p>
    <w:p w14:paraId="58F856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EE65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10.1097/BSD.0000000000002184</w:t>
      </w:r>
    </w:p>
    <w:p w14:paraId="2133EA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42814624</w:t>
      </w:r>
    </w:p>
    <w:p w14:paraId="2B1BB0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D9A74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Eur J Clin Microbiol Infect Dis. 2026 Sep 29. doi: 10.1007/s10096-026-05686-z. Online ahead of print.</w:t>
      </w:r>
    </w:p>
    <w:p w14:paraId="4B0085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12C7E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HBV/HCV coinfection and anti-tuberculosis drug-induced liver injury: from risk </w:t>
      </w:r>
    </w:p>
    <w:p w14:paraId="2D8384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assessment and exploration of mechanisms to preventive considerations.</w:t>
      </w:r>
    </w:p>
    <w:p w14:paraId="27793E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CA9E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 XJ(#)(1), Zhang N(#)(1), Zhang Q(1), Chen R(1), Yu G(2).</w:t>
      </w:r>
    </w:p>
    <w:p w14:paraId="39FE84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9D42E2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Xiao-Jing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Na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Qiang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Rui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Guo Yu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6520B135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Guo Yu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guoyu@cpu.edu.cn</w:t>
      </w:r>
    </w:p>
    <w:p w14:paraId="7ECB49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87E7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ABAE0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(1)School of Basic Medicine and Clinical Pharmacy, China Pharmaceutical </w:t>
      </w:r>
    </w:p>
    <w:p w14:paraId="124745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#24 Tongjia Lane, Nanjing, Jiangsu, 210009, China.</w:t>
      </w:r>
    </w:p>
    <w:p w14:paraId="0030B0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(2)School of Basic Medicine and Clinical Pharmacy, China Pharmaceutical </w:t>
      </w:r>
    </w:p>
    <w:p w14:paraId="27F526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#24 Tongjia Lane, Nanjing, Jiangsu, 210009, China. guoyu@cpu.edu.cn.</w:t>
      </w:r>
    </w:p>
    <w:p w14:paraId="76A702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67C6D4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07C1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PURPOSE: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Anti-tuberculosis drug-induced liver injury (AT-DILI) is a common and </w:t>
      </w:r>
    </w:p>
    <w:p w14:paraId="5AF919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clinically significant adverse event during tuberculosis treatment. Previous </w:t>
      </w:r>
    </w:p>
    <w:p w14:paraId="4FB7E3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studies have frequently reported an increased risk of AT-DILI among patients </w:t>
      </w:r>
    </w:p>
    <w:p w14:paraId="4C0907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coinfected with hepatitis B virus (HBV) and/or hepatitis C virus (HCV). This </w:t>
      </w:r>
    </w:p>
    <w:p w14:paraId="36FDA9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review aims to explore potential mechanisms underlying this heightened </w:t>
      </w:r>
    </w:p>
    <w:p w14:paraId="5E9B6F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susceptibility and to discuss prevention considerations for patients with </w:t>
      </w:r>
    </w:p>
    <w:p w14:paraId="22F433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and HBV/HCV coinfection.</w:t>
      </w:r>
    </w:p>
    <w:p w14:paraId="2CA879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conducted a comprehensive literature search across PubMed, Web of </w:t>
      </w:r>
    </w:p>
    <w:p w14:paraId="75923C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Science, and Google Scholar, supplemented by clinical guidelines and </w:t>
      </w:r>
    </w:p>
    <w:p w14:paraId="59992D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authoritative reports, to identify relevant studies published through August </w:t>
      </w:r>
    </w:p>
    <w:p w14:paraId="3F57D3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2026. Relevant articles were screened and thematically organized to synthesize </w:t>
      </w:r>
    </w:p>
    <w:p w14:paraId="01C832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evidence on risk estimation, underlying mechanisms, and prevention </w:t>
      </w:r>
    </w:p>
    <w:p w14:paraId="16168C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considerations.</w:t>
      </w:r>
    </w:p>
    <w:p w14:paraId="25972D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Available evidence indicates that HBV/HCV coinfection is associated </w:t>
      </w:r>
    </w:p>
    <w:p w14:paraId="1103E6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increased AT-DILI risk, with the magnitude varying by viral activity, </w:t>
      </w:r>
    </w:p>
    <w:p w14:paraId="53CD68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baseline liver disease, and virological indicator selection. Higher viral loads </w:t>
      </w:r>
    </w:p>
    <w:p w14:paraId="3D24C9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appear more closely associated with AT-DILI risk. Potential mechanisms include </w:t>
      </w:r>
    </w:p>
    <w:p w14:paraId="286728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immune-inflammatory changes, altered drug metabolism, reduced hepatic reserve, </w:t>
      </w:r>
    </w:p>
    <w:p w14:paraId="260649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virus-specific liver injury, including HBV reactivation. These observations </w:t>
      </w:r>
    </w:p>
    <w:p w14:paraId="0E4983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inform preventive strategies targeting these risks and potential mechanisms, </w:t>
      </w:r>
    </w:p>
    <w:p w14:paraId="4A4C4A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baseline hepatic and virological assessment, dynamic monitoring, </w:t>
      </w:r>
    </w:p>
    <w:p w14:paraId="656311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antiviral therapy, individualized anti-tuberculosis regimen optimization, and </w:t>
      </w:r>
    </w:p>
    <w:p w14:paraId="6BBFC1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selective use of hepatoprotective agents.</w:t>
      </w:r>
    </w:p>
    <w:p w14:paraId="2594BD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 H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BV/HCV coinfection increases the risk of AT-DILI and warrants </w:t>
      </w:r>
    </w:p>
    <w:p w14:paraId="42FEDE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active clinical attention. Future efforts should focus on individualizing </w:t>
      </w:r>
    </w:p>
    <w:p w14:paraId="2F8679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prevention based on virological and hepatic status, while validating emerging </w:t>
      </w:r>
    </w:p>
    <w:p w14:paraId="3BE2BD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biomarkers and artificial intelligence-based predictive tools to refine risk </w:t>
      </w:r>
    </w:p>
    <w:p w14:paraId="55E75F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identification.</w:t>
      </w:r>
    </w:p>
    <w:p w14:paraId="4C72DD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D8BA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2026. The Author(s), under exclusive licence to Springer-Verlag GmbH Germany, </w:t>
      </w:r>
    </w:p>
    <w:p w14:paraId="44735C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part of Springer Nature.</w:t>
      </w:r>
    </w:p>
    <w:p w14:paraId="630286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8352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10.1007/s10096-026-05686-z</w:t>
      </w:r>
    </w:p>
    <w:p w14:paraId="2AE0B6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42809079</w:t>
      </w:r>
    </w:p>
    <w:p w14:paraId="5EE00B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ECB64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Exp Ther Med. 2026 Sep 23;32(5):315. doi: 10.3892/etm.2026.13310. eCollection </w:t>
      </w:r>
    </w:p>
    <w:p w14:paraId="021B6F9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2026 Nov.</w:t>
      </w:r>
    </w:p>
    <w:p w14:paraId="14286B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BEF5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tuberculosis occurring during the diagnosis and treatment of </w:t>
      </w:r>
    </w:p>
    <w:p w14:paraId="173BAC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sarcoidosis complicated by chylothorax: A case report.</w:t>
      </w:r>
    </w:p>
    <w:p w14:paraId="56C744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7B3D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Wang HJ(1), Li X(2), Han WG(2), Tang YY(1), Zhang YY(3), Wang YB(1), Zhang Y(2), </w:t>
      </w:r>
    </w:p>
    <w:p w14:paraId="17D252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Zhang XQ(2), Qu MH(1).</w:t>
      </w:r>
    </w:p>
    <w:p w14:paraId="38A5B3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BECF9B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Huai-Jie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Xue Li,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Wen-Ge Han,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Yuan-Yuan Tang,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Yan-Yan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Yu-Bing Wang,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Yong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Xiao-Qi Zhang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Mei-Hua Qu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1048B0B1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Correspondence to: Professor Mei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noBreakHyphen/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Hua Qu, E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noBreakHyphen/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mail: qumeihua2016@163.com 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Dr Xiao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noBreakHyphen/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Qi Zhang, E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noBreakHyphen/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mail: xuanll1995@163.com</w:t>
      </w:r>
    </w:p>
    <w:p w14:paraId="23535B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C20C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CF33A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Translational Medical Center, Weifang No. 2 People's Hospital, </w:t>
      </w:r>
    </w:p>
    <w:p w14:paraId="6C474F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Weifang, Shandong 261041, P.R. China.</w:t>
      </w:r>
    </w:p>
    <w:p w14:paraId="398C26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Respiratory and Critical Care Medicine, Weifang No. 2 People's </w:t>
      </w:r>
    </w:p>
    <w:p w14:paraId="6791C7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Hospital, Weifang, Shandong 261041, P.R. China.</w:t>
      </w:r>
    </w:p>
    <w:p w14:paraId="3B9F47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Rheumatology and Immunology, Weifang No. 2 People's Hospital, </w:t>
      </w:r>
    </w:p>
    <w:p w14:paraId="59A22A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Weifang, Shandong 261041, P.R. China.</w:t>
      </w:r>
    </w:p>
    <w:p w14:paraId="124E1A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20DF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Sarcoidosis is a systemic granulomatous disorder, and chylothorax is a rare but </w:t>
      </w:r>
    </w:p>
    <w:p w14:paraId="0B5765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severe pleural complication of this disease and exhibits a prominent diagnostic </w:t>
      </w:r>
    </w:p>
    <w:p w14:paraId="51C0CB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overlap with tuberculosis. The present study reported the case of a 48-year-old </w:t>
      </w:r>
    </w:p>
    <w:p w14:paraId="124422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woman who was admitted in May 2018 with chronic cough and chest tightness. After </w:t>
      </w:r>
    </w:p>
    <w:p w14:paraId="73FB72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hospitalization for 17 days, comprehensive examinations excluded tuberculosis </w:t>
      </w:r>
    </w:p>
    <w:p w14:paraId="5A651D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malignancy, and the patient was finally diagnosed with sarcoidosis </w:t>
      </w:r>
    </w:p>
    <w:p w14:paraId="2CD035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complicated with pleural effusion. Treatment with prednisone combined with </w:t>
      </w:r>
    </w:p>
    <w:p w14:paraId="4E0232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therapeutic thoracentesis was initiated to relieve symptoms. Chylothorax </w:t>
      </w:r>
    </w:p>
    <w:p w14:paraId="0BB420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developed on hospital day 22, and a low-fat diet was added to the treatment </w:t>
      </w:r>
    </w:p>
    <w:p w14:paraId="1A9158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regimen; however, 20 days after therapy initiation, the persistent chylothorax </w:t>
      </w:r>
    </w:p>
    <w:p w14:paraId="056626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showed no notable improvement. Following multidisciplinary consultation, </w:t>
      </w:r>
    </w:p>
    <w:p w14:paraId="6BBCD5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methotrexate was added as adjuvant therapy to control sarcoidosis activity. The </w:t>
      </w:r>
    </w:p>
    <w:p w14:paraId="3D651C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patient's symptoms then improved, and the patient was discharged on hospital day </w:t>
      </w:r>
    </w:p>
    <w:p w14:paraId="20501C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49 with oral medications. Clinical remission was achieved at the 3-month </w:t>
      </w:r>
    </w:p>
    <w:p w14:paraId="354E4F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follow-up; however, new tuberculous lesions were identified in the left lung at </w:t>
      </w:r>
    </w:p>
    <w:p w14:paraId="61B697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6-month follow-up. Methotrexate was discontinued immediately, prednisone was </w:t>
      </w:r>
    </w:p>
    <w:p w14:paraId="1B754C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gradually tapered to a maintenance dose, and standardized anti-tuberculosis </w:t>
      </w:r>
    </w:p>
    <w:p w14:paraId="7D2A28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therapy was initiated. At the 12-month follow-up, pulmonary tuberculosis had </w:t>
      </w:r>
    </w:p>
    <w:p w14:paraId="5BFE77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achieved clinical cure following a 6-month course of treatment. </w:t>
      </w:r>
    </w:p>
    <w:p w14:paraId="5AF1F7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Anti-tuberculosis therapy was continued for an additional 3 months as </w:t>
      </w:r>
    </w:p>
    <w:p w14:paraId="089FAA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consolidation treatment before discontinuation, whereas maintenance-dose </w:t>
      </w:r>
    </w:p>
    <w:p w14:paraId="58FF79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prednisone was continued to control the underlying sarcoidosis. No evidence of </w:t>
      </w:r>
    </w:p>
    <w:p w14:paraId="344354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sarcoidosis or tuberculosis recurrence was identified at the 25- or 39-month </w:t>
      </w:r>
    </w:p>
    <w:p w14:paraId="2B167F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follow-up. Prednisone was gradually tapered and ultimately withdrawn, and the </w:t>
      </w:r>
    </w:p>
    <w:p w14:paraId="165E8E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achieved a favorable long-term outcome. The present case report </w:t>
      </w:r>
    </w:p>
    <w:p w14:paraId="0A573D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describes a patient with sarcoidosis-associated chylothorax who developed </w:t>
      </w:r>
    </w:p>
    <w:p w14:paraId="2A1C55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new-onset pulmonary tuberculosis during immunosuppressive treatment, </w:t>
      </w:r>
    </w:p>
    <w:p w14:paraId="3A6A05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highlighting the challenges associated with the differential diagnosis and </w:t>
      </w:r>
    </w:p>
    <w:p w14:paraId="13255D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management of complicated sarcoidosis. Although combination therapy </w:t>
      </w:r>
    </w:p>
    <w:p w14:paraId="288E12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prednisone and methotrexate was temporally associated with improvement of </w:t>
      </w:r>
    </w:p>
    <w:p w14:paraId="29FE27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chylothorax, clinicians should remain aware regarding the risk of </w:t>
      </w:r>
    </w:p>
    <w:p w14:paraId="21DAD4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opportunistic infections.</w:t>
      </w:r>
    </w:p>
    <w:p w14:paraId="04B234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3E04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Copyright: © 2026 Wang et al.</w:t>
      </w:r>
    </w:p>
    <w:p w14:paraId="5DA556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3FFD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10.3892/etm.2026.13310</w:t>
      </w:r>
    </w:p>
    <w:p w14:paraId="5CAF45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PMC13639334</w:t>
      </w:r>
    </w:p>
    <w:p w14:paraId="2F5A18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42840474</w:t>
      </w:r>
    </w:p>
    <w:p w14:paraId="37CD31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D07F7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Med (Lausanne). 2026 Sep 22;13:1959574. doi: 10.3389/fmed.2026.1959574. </w:t>
      </w:r>
    </w:p>
    <w:p w14:paraId="5086D2E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77EB07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2A8A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microbiome to outcome: the cascading effects of combining acid suppressants </w:t>
      </w:r>
    </w:p>
    <w:p w14:paraId="2AA43C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with anti-tuberculosis therapy.</w:t>
      </w:r>
    </w:p>
    <w:p w14:paraId="2AC8C4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2D20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Fang S(1), Yang X(1), Liu F(1).</w:t>
      </w:r>
    </w:p>
    <w:p w14:paraId="563FF0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D737403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Shiyu Fang,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Xiaoman Yang,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Fengjun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49DAC04F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 CORRESPONDENCE Fengjun Liu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Lfj116@126.com</w:t>
      </w:r>
    </w:p>
    <w:p w14:paraId="35DE36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A26B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E26BA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Infectious Diseases, Affiliated Hospital of North Sichuan </w:t>
      </w:r>
    </w:p>
    <w:p w14:paraId="6645A8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College, Nanchong, Sichuan, China.</w:t>
      </w:r>
    </w:p>
    <w:p w14:paraId="6668F0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C9A5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Gastrointestinal adverse reactions occur in up to 71.8% of patients receiving </w:t>
      </w:r>
    </w:p>
    <w:p w14:paraId="6A66ED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anti-tuberculosis drugs (ATDs), and acid-suppressing agents are frequently </w:t>
      </w:r>
    </w:p>
    <w:p w14:paraId="2FF65B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co-prescribed to alleviate these symptoms. Direct evidence from human studies </w:t>
      </w:r>
    </w:p>
    <w:p w14:paraId="6DF5B5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demonstrates that ATDs alone reduce gut microbial diversity, deplete short-chain </w:t>
      </w:r>
    </w:p>
    <w:p w14:paraId="799A8F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fatty acid (SCFA)-producing bacteria, and promote opportunistic pathogen </w:t>
      </w:r>
    </w:p>
    <w:p w14:paraId="076286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overgrowth. Concurrently, acid suppressants, particularly proton pump inhibitors </w:t>
      </w:r>
    </w:p>
    <w:p w14:paraId="5F1325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(PPIs), raise intragastric pH and facilitate oral-to-gut translocation of </w:t>
      </w:r>
    </w:p>
    <w:p w14:paraId="69EFB9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bacteria, independently disrupting microbiota composition and metabolic </w:t>
      </w:r>
    </w:p>
    <w:p w14:paraId="0063EE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pathways. In this review, we systematically examine the distinct effects of ATDs </w:t>
      </w:r>
    </w:p>
    <w:p w14:paraId="4B01FC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acid suppressants on the gut microbiota, the role of the gut-lung axis in </w:t>
      </w:r>
    </w:p>
    <w:p w14:paraId="731D12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immunity, and, on the basis of mechanistic evidence, propose a </w:t>
      </w:r>
    </w:p>
    <w:p w14:paraId="5E2AE8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theoretical cascade under dual exposure: synergistic microbiota depletion, dual </w:t>
      </w:r>
    </w:p>
    <w:p w14:paraId="1B1BA0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metabolic pathway inhibition, immune homeostasis imbalance, and potentially </w:t>
      </w:r>
    </w:p>
    <w:p w14:paraId="3F3408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worsened clinical outcomes. This cascade represents a hypothesis-generating </w:t>
      </w:r>
    </w:p>
    <w:p w14:paraId="45D301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framework derived from preclinical and mechanistic studies, rather than an </w:t>
      </w:r>
    </w:p>
    <w:p w14:paraId="305697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established clinical pathway, and the critical links from dysbiosis to delayed </w:t>
      </w:r>
    </w:p>
    <w:p w14:paraId="76477D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sputum conversion, poor lesion resolution, or increased drug-induced liver </w:t>
      </w:r>
    </w:p>
    <w:p w14:paraId="09CC50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injury currently lack direct human confirmation. On the basis of the available </w:t>
      </w:r>
    </w:p>
    <w:p w14:paraId="00B284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evidence, we recommend that clinicians strictly follow indications for acid </w:t>
      </w:r>
    </w:p>
    <w:p w14:paraId="6AE36A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suppressants, prefer H₂ receptor antagonists(H2RAs) over PPIs, and limit </w:t>
      </w:r>
    </w:p>
    <w:p w14:paraId="1EF923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to the shortest effective duration. Probiotics and other </w:t>
      </w:r>
    </w:p>
    <w:p w14:paraId="04710D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microbiota-targeted interventions show promise as adjunctive strategies, but </w:t>
      </w:r>
    </w:p>
    <w:p w14:paraId="659DEC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their long-term efficacy remains to be validated. Large-scale prospective </w:t>
      </w:r>
    </w:p>
    <w:p w14:paraId="67F2AB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studies are urgently needed to test the hypothesized cascade, confirm the direct </w:t>
      </w:r>
    </w:p>
    <w:p w14:paraId="41EDF6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impact of combined therapy on treatment outcomes, and establish microbiota-based </w:t>
      </w:r>
    </w:p>
    <w:p w14:paraId="07A28D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biomarkers for predicting therapeutic response.</w:t>
      </w:r>
    </w:p>
    <w:p w14:paraId="30E145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6C43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Fang, Yang and Liu.</w:t>
      </w:r>
    </w:p>
    <w:p w14:paraId="278802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0BB2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10.3389/fmed.2026.1959574</w:t>
      </w:r>
    </w:p>
    <w:p w14:paraId="2BE3EE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PMC13639264</w:t>
      </w:r>
    </w:p>
    <w:p w14:paraId="0A4391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42840472</w:t>
      </w:r>
    </w:p>
    <w:p w14:paraId="347697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EB073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iScience. 2026 Sep 23;29(10):117607. doi: 10.1016/j.isci.2026.117607. </w:t>
      </w:r>
    </w:p>
    <w:p w14:paraId="311E928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Oct 16.</w:t>
      </w:r>
    </w:p>
    <w:p w14:paraId="0CD7A7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7EF5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Long non-coding RNAs in tuberculosis: Immune regulation and clinical biomarker </w:t>
      </w:r>
    </w:p>
    <w:p w14:paraId="15231D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potential.</w:t>
      </w:r>
    </w:p>
    <w:p w14:paraId="3E1733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3A0C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Tian N(1), Lin J(1), Ju D(1), Tan Y(1), Zhu J(1).</w:t>
      </w:r>
    </w:p>
    <w:p w14:paraId="5C13B3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A8E51F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Nannan Tian,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Jiamin Lin,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Daichen Ju,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Yaoju Tan,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Jialou Zhu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0D6608CE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*Correspondence: zhujialou@hotmil.com</w:t>
      </w:r>
    </w:p>
    <w:p w14:paraId="7298AA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E159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336D5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(1)State Key Laboratory of Respiratory Disease, Guangzhou Medical University </w:t>
      </w:r>
    </w:p>
    <w:p w14:paraId="0F4E1B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Institute of Tuberculosis, Guangzhou Key Laboratory of Tuberculosis Research, </w:t>
      </w:r>
    </w:p>
    <w:p w14:paraId="5B7EE4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Clinical Laboratory, Guangzhou Chest Hospital Affiliated to </w:t>
      </w:r>
    </w:p>
    <w:p w14:paraId="1C753C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Guangdong Pharmaceutical University, Guangzhou 510095, China.</w:t>
      </w:r>
    </w:p>
    <w:p w14:paraId="3ADF50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F211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caused by Mycobacterium tuberculosis (Mtb), remains the </w:t>
      </w:r>
    </w:p>
    <w:p w14:paraId="3DE4DC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leading infectious cause of mortality worldwide, with an estimated 1.25 million </w:t>
      </w:r>
    </w:p>
    <w:p w14:paraId="7664AA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deaths in 2023. Despite therapeutic advances, the lack of precise early </w:t>
      </w:r>
    </w:p>
    <w:p w14:paraId="2ABFD9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screening tools continues to impede epidemic control. Long non-coding RNAs </w:t>
      </w:r>
    </w:p>
    <w:p w14:paraId="3112FD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(lncRNAs) have emerged as essential modulators of host anti-Mtb immunity, and </w:t>
      </w:r>
    </w:p>
    <w:p w14:paraId="38FB9D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elucidating their functional mechanisms is pivotal for developing effective </w:t>
      </w:r>
    </w:p>
    <w:p w14:paraId="6B8772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interventions. This review systematically synthesizes lncRNA-mediated immune </w:t>
      </w:r>
    </w:p>
    <w:p w14:paraId="485236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regulation during Mtb infection, with emphasis on their roles in modulating </w:t>
      </w:r>
    </w:p>
    <w:p w14:paraId="4F7BF8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cell death, extending beyond apoptosis to encompass necrosis and </w:t>
      </w:r>
    </w:p>
    <w:p w14:paraId="3D2645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pyroptosis. Importantly, we provide a comprehensive analysis of lncRNAs and </w:t>
      </w:r>
    </w:p>
    <w:p w14:paraId="1162D3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related gene polymorphisms as predictive biomarkers for anti-TB drug-induced </w:t>
      </w:r>
    </w:p>
    <w:p w14:paraId="0A35D7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adverse reactions. Current research gaps and future priorities are also </w:t>
      </w:r>
    </w:p>
    <w:p w14:paraId="14ED3A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discussed. Together, the dual potential of lncRNAs as molecular diagnostics and </w:t>
      </w:r>
    </w:p>
    <w:p w14:paraId="6B3DC9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candidate targets for host-directed therapy represents a promising frontier in </w:t>
      </w:r>
    </w:p>
    <w:p w14:paraId="4E0691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TB management.</w:t>
      </w:r>
    </w:p>
    <w:p w14:paraId="348B25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291E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Published by Elsevier Inc.</w:t>
      </w:r>
    </w:p>
    <w:p w14:paraId="5410CD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7838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10.1016/j.isci.2026.117607</w:t>
      </w:r>
    </w:p>
    <w:p w14:paraId="51B878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PMC13634360</w:t>
      </w:r>
    </w:p>
    <w:p w14:paraId="2543C7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42831151</w:t>
      </w:r>
    </w:p>
    <w:p w14:paraId="292E9E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E5C76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12. One Health. 2026 Sep 16;23:101587. doi: 10.1016/j.onehlt.2026.101587. </w:t>
      </w:r>
    </w:p>
    <w:p w14:paraId="71C2B59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Dec.</w:t>
      </w:r>
    </w:p>
    <w:p w14:paraId="1926A7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AA73E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Associations between El Niño-Southern Oscillation (ENSO) and tuberculosis </w:t>
      </w:r>
    </w:p>
    <w:p w14:paraId="021BCE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incidence in China: a nationwide study.</w:t>
      </w:r>
    </w:p>
    <w:p w14:paraId="08DB67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ECBB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Qin X(1)(2), Xia Y(3), Xue J(2), Zhou X(4), Tao W(5), Wu Y(6), Zhang H(7), Chen </w:t>
      </w:r>
    </w:p>
    <w:p w14:paraId="0F9D4C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Y(2), Lin Z(1), Nong L(1), He K(1), Qin Z(1), Zhou T(1), Xie Z(1), Ma J(1).</w:t>
      </w:r>
    </w:p>
    <w:p w14:paraId="2BDE69FD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</w:p>
    <w:p w14:paraId="6B313350">
      <w:pP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Xiaopeng Qin,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Yizhang Xia,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Jiang Xue,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Xudong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Wenjie Tao,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Yukang Wu,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Hongchang Zhang,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Ying Chen,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Zhenyu Lin,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Lanwei Nong,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Kechang He,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Zhendong Qin,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Tiejun Zhou,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Zhouhua Xie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Jie Ma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</w:p>
    <w:p w14:paraId="7A7ADF54">
      <w:pPr>
        <w:jc w:val="left"/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*Corresponding authors.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 xml:space="preserve">E-mail addresses: 1491348066@qq.com(Zhouhua Xie), majie_epidemiology@163.com(Jie Ma). </w:t>
      </w:r>
    </w:p>
    <w:p w14:paraId="59D42C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3ABF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C564A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(1)Subcenter of the National Clinical Research Center for Infectious Diseases, </w:t>
      </w:r>
    </w:p>
    <w:p w14:paraId="4F82CC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HIV/AIDS Clinical Treatment Center of Guangxi (Nanning), The Fourth People's </w:t>
      </w:r>
    </w:p>
    <w:p w14:paraId="17AB7C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 of Nanning, Nanning, Guangxi 530023, PR China.</w:t>
      </w:r>
    </w:p>
    <w:p w14:paraId="739751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(2)Guangxi Medical University, Nanning, Guangxi 530021, PR China.</w:t>
      </w:r>
    </w:p>
    <w:p w14:paraId="5E3CA4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(3)State Key Laboratory for Infectious Disease Prevention and Control-Zigong </w:t>
      </w:r>
    </w:p>
    <w:p w14:paraId="2A96A5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Base for Emerging Infectious Diseases, Zigong Center for Disease </w:t>
      </w:r>
    </w:p>
    <w:p w14:paraId="492F44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Control and Prevention, Zigong, Sichuan 643000, PR China.</w:t>
      </w:r>
    </w:p>
    <w:p w14:paraId="2CC519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(4)Institute of Hydraulic and Ocean Engineering, Ningbo University, Ningbo, </w:t>
      </w:r>
    </w:p>
    <w:p w14:paraId="547EF8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Zhejiang 315021, PR China.</w:t>
      </w:r>
    </w:p>
    <w:p w14:paraId="0292A7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(5)School of Management, Xi'an Jiaotong University, Xi'an, Shaanxi 710049, PR </w:t>
      </w:r>
    </w:p>
    <w:p w14:paraId="659EAD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China.</w:t>
      </w:r>
    </w:p>
    <w:p w14:paraId="154A3B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(6)The Affiliated Wuxi Center for Disease Control and Prevention of Nanjing </w:t>
      </w:r>
    </w:p>
    <w:p w14:paraId="577EC9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University, Wuxi Center for Disease Control and Prevention, Wuxi, </w:t>
      </w:r>
    </w:p>
    <w:p w14:paraId="0CA65E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Jiangsu 214023, PR China.</w:t>
      </w:r>
    </w:p>
    <w:p w14:paraId="27D6AA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(7)College of Life Sciences, University of Chinese Academy of Sciences, Beijing </w:t>
      </w:r>
    </w:p>
    <w:p w14:paraId="5BCA45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100049, PR China.</w:t>
      </w:r>
    </w:p>
    <w:p w14:paraId="07FBEC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2E16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 C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limate variability may influence tuberculosis (TB) burden, but </w:t>
      </w:r>
    </w:p>
    <w:p w14:paraId="1A908E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associations between the El Niño-Southern Oscillation (ENSO) and TB incidence </w:t>
      </w:r>
    </w:p>
    <w:p w14:paraId="734F96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remain poorly characterized across China.</w:t>
      </w:r>
    </w:p>
    <w:p w14:paraId="616482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To quantify associations of ENSO and meteorological factors with TB </w:t>
      </w:r>
    </w:p>
    <w:p w14:paraId="036056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notification incidence and assess regional and age-specific heterogeneity.</w:t>
      </w:r>
    </w:p>
    <w:p w14:paraId="77461E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Monthly TB surveillance data from 31 provincial-level administrative </w:t>
      </w:r>
    </w:p>
    <w:p w14:paraId="025463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divisions in mainland China during 2005-2020 were analyzed using quasi-Poisson </w:t>
      </w:r>
    </w:p>
    <w:p w14:paraId="7C3D5E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regression with distributed lag nonlinear models. Meteorological variables were </w:t>
      </w:r>
    </w:p>
    <w:p w14:paraId="16672B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examined alongside ENSO, with adjustment for relevant environmental and </w:t>
      </w:r>
    </w:p>
    <w:p w14:paraId="78D94F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socioeconomic covariates. Subgroup analyses were conducted by geographic region </w:t>
      </w:r>
    </w:p>
    <w:p w14:paraId="0245AD5A">
      <w:pPr>
        <w:rPr>
          <w:rFonts w:hint="eastAsia" w:ascii="宋体" w:hAnsi="宋体" w:eastAsia="宋体" w:cs="宋体"/>
          <w:b w:val="0"/>
          <w:bCs w:val="0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Cs w:val="24"/>
          <w14:textFill>
            <w14:solidFill>
              <w14:schemeClr w14:val="tx1"/>
            </w14:solidFill>
          </w14:textFill>
        </w:rPr>
        <w:t>and age group.</w:t>
      </w:r>
    </w:p>
    <w:p w14:paraId="57F9F8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ENSO-related associations emerged at approximately 9 months, peaked at </w:t>
      </w:r>
    </w:p>
    <w:p w14:paraId="57C019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10 months, and persisted for about 3 months. At lag 9 months, strong El Niño and strong La Niña conditions were associated with higher TB notification incidence than neutral conditions, with relative risks (RRs) of 1.048 (95% CI, </w:t>
      </w:r>
    </w:p>
    <w:p w14:paraId="73E18E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1.007-1.091) and 1.058 (95% CI, 1.032-1.085), respectively. Temperature showed a </w:t>
      </w:r>
    </w:p>
    <w:p w14:paraId="24DDC4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U-shaped association with TB notification incidence. Relative humidity of 67-87% </w:t>
      </w:r>
    </w:p>
    <w:p w14:paraId="137000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associated with higher TB notification incidence, peaking at 81% (RR, 1.101; </w:t>
      </w:r>
    </w:p>
    <w:p w14:paraId="7B2F71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95% CI, 1.063-1.140). Regional and age-stratified analyses indicated </w:t>
      </w:r>
    </w:p>
    <w:p w14:paraId="158097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heterogeneous exposure-response patterns.</w:t>
      </w:r>
    </w:p>
    <w:p w14:paraId="6C2547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ENSO and local meteorological factors were associated with TB </w:t>
      </w:r>
    </w:p>
    <w:p w14:paraId="1657B7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notification incidence through nonlinear and delayed exposure-response patterns. </w:t>
      </w:r>
    </w:p>
    <w:p w14:paraId="5B195E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Climate forecasts may provide supplementary information for climate-sensitive TB </w:t>
      </w:r>
    </w:p>
    <w:p w14:paraId="75E825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surveillance within the environmental dimension of One Health.</w:t>
      </w:r>
    </w:p>
    <w:p w14:paraId="6DFBC4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F3F4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 Published by Elsevier B.V.</w:t>
      </w:r>
    </w:p>
    <w:p w14:paraId="20C959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8C93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10.1016/j.onehlt.2026.101587</w:t>
      </w:r>
    </w:p>
    <w:p w14:paraId="72F3F0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PMC13627933</w:t>
      </w:r>
    </w:p>
    <w:p w14:paraId="70087B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42824752</w:t>
      </w:r>
    </w:p>
    <w:p w14:paraId="163971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19C53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Curr HIV Res. 2026 Sep 25. doi: 10.2174/011570162X478765260909062929. Online </w:t>
      </w:r>
    </w:p>
    <w:p w14:paraId="59B90AE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0C7EF0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4884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Alterations in Th17/Treg Balance and IL-21 Signaling in Patients with HIV and </w:t>
      </w:r>
    </w:p>
    <w:p w14:paraId="54F242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Mycobacterium tuberculosis Coinfection.</w:t>
      </w:r>
    </w:p>
    <w:p w14:paraId="30842A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4A13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Chen G(1), Chen S(2).</w:t>
      </w:r>
    </w:p>
    <w:p w14:paraId="02837D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FA3CFB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Gao Chen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,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Shikai Chen</w:t>
      </w:r>
    </w:p>
    <w:p w14:paraId="16C1A306">
      <w:pPr>
        <w:rPr>
          <w:rFonts w:hint="eastAsia" w:ascii="宋体" w:hAnsi="宋体" w:eastAsia="宋体" w:cs="宋体"/>
          <w:b/>
          <w:bCs/>
          <w:color w:val="0070C0"/>
          <w:szCs w:val="24"/>
        </w:rPr>
      </w:pPr>
      <w:r>
        <w:rPr>
          <w:rFonts w:hint="eastAsia" w:ascii="宋体" w:hAnsi="宋体" w:eastAsia="宋体" w:cs="宋体"/>
          <w:b/>
          <w:bCs/>
          <w:color w:val="0070C0"/>
          <w:szCs w:val="24"/>
        </w:rPr>
        <w:t>*Address correspondence to this author</w:t>
      </w:r>
      <w:r>
        <w:rPr>
          <w:rFonts w:hint="eastAsia" w:ascii="宋体" w:hAnsi="宋体" w:eastAsia="宋体" w:cs="宋体"/>
          <w:b/>
          <w:bCs/>
          <w:color w:val="0070C0"/>
          <w:szCs w:val="24"/>
          <w:lang w:val="en-US" w:eastAsia="zh-CN"/>
        </w:rPr>
        <w:t xml:space="preserve">, </w:t>
      </w:r>
      <w:r>
        <w:rPr>
          <w:rFonts w:hint="eastAsia" w:ascii="宋体" w:hAnsi="宋体" w:eastAsia="宋体" w:cs="宋体"/>
          <w:b/>
          <w:bCs/>
          <w:color w:val="0070C0"/>
          <w:szCs w:val="24"/>
        </w:rPr>
        <w:t>E-mail: chemgao869@126.com</w:t>
      </w:r>
    </w:p>
    <w:p w14:paraId="523590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C00A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FEA57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Infectious Diseases, Deyang People's Hospital, Deyang, 618000, </w:t>
      </w:r>
    </w:p>
    <w:p w14:paraId="54DFAD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Sichuan Province, China.</w:t>
      </w:r>
    </w:p>
    <w:p w14:paraId="268ED5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(2)North Sichuan Medical College, Nanchong, 637000, Sichuan Province, China.</w:t>
      </w:r>
    </w:p>
    <w:p w14:paraId="05B621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0FDD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INTRODUCTION/OBJECTIVE: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study aimed to characterize the distributions of </w:t>
      </w:r>
    </w:p>
    <w:p w14:paraId="529F0B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Th17 and regulatory T (Treg) cells and the associated interleukin-21 (IL-21) </w:t>
      </w:r>
    </w:p>
    <w:p w14:paraId="6B1E3E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signaling in patients with human immunodeficiency virus (HIV) and Mycobacterium </w:t>
      </w:r>
    </w:p>
    <w:p w14:paraId="13F373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(Mtb) coinfection.</w:t>
      </w:r>
    </w:p>
    <w:p w14:paraId="35AADA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cross-sectional study included 54 participants in each of three </w:t>
      </w:r>
    </w:p>
    <w:p w14:paraId="027042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groups: HIV/Mtb coinfection, Mtb monoinfection, and healthy control. Peripheral </w:t>
      </w:r>
    </w:p>
    <w:p w14:paraId="2E83BF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blood mononuclear cells were isolated using Ficoll-Hypaque density gradient </w:t>
      </w:r>
    </w:p>
    <w:p w14:paraId="4916C9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centrifugation. The percentages of Th17 and Treg cells, the Th17/Treg ratio, and </w:t>
      </w:r>
    </w:p>
    <w:p w14:paraId="3705E0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mean fluorescence intensity of IL-21 receptor (IL-21R) expression on Th17 </w:t>
      </w:r>
    </w:p>
    <w:p w14:paraId="1459D9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cells were quantified by flow cytometry. Serum IL-21 concentrations were </w:t>
      </w:r>
    </w:p>
    <w:p w14:paraId="33784F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measured by enzyme-linked immunosorbent assay. Group comparisons were performed </w:t>
      </w:r>
    </w:p>
    <w:p w14:paraId="548B6C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using non-parametric Kruskal-Wallis and Mann-Whitney U tests as appropriate.</w:t>
      </w:r>
    </w:p>
    <w:p w14:paraId="5A1E21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Th17/Treg cell ratio was significantly lower in both patient groups </w:t>
      </w:r>
    </w:p>
    <w:p w14:paraId="769B0B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to the healthy control group (HIV/Mtb coinfection: 1.40 ± 0.35; Mtb </w:t>
      </w:r>
    </w:p>
    <w:p w14:paraId="595B42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monoinfection: 1.34 ± 0.28; healthy control: 2.50 ± 0.60; both p&lt;0.001). Within </w:t>
      </w:r>
    </w:p>
    <w:p w14:paraId="3FCA6A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patient cohorts, the ratio was marginally but significantly higher in the </w:t>
      </w:r>
    </w:p>
    <w:p w14:paraId="433FAA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HIV/Mtb coinfection group (p=0.047), primarily due to a higher proportion of </w:t>
      </w:r>
    </w:p>
    <w:p w14:paraId="46DE9A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Th17 cells (9.8±2.1% vs. 8.0±1.8%; p=0.021). Treg cell proportions did not </w:t>
      </w:r>
    </w:p>
    <w:p w14:paraId="0487D2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 significantly among the three groups (p=0.325). IL-21R expression on Th17 </w:t>
      </w:r>
    </w:p>
    <w:p w14:paraId="4E38CA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cells was higher in the HIV/Mtb coinfection group than in the Mtb monoinfection </w:t>
      </w:r>
    </w:p>
    <w:p w14:paraId="548F1F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group (35.2±5.1% vs. 28.5±4.3%; p=0.035), while serum IL-21 levels were lower </w:t>
      </w:r>
    </w:p>
    <w:p w14:paraId="12F97C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(105.0±20.0 pg/mL vs. 120.5±25.0 pg/mL; p=0.032). All patient values were lower </w:t>
      </w:r>
    </w:p>
    <w:p w14:paraId="4EC025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than those in healthy controls (both p&lt;0.001).</w:t>
      </w:r>
    </w:p>
    <w:p w14:paraId="323FB3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DISCUSSION: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concurrent findings-partial elevation of Th17/Treg ratio, </w:t>
      </w:r>
    </w:p>
    <w:p w14:paraId="3FD3E2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compensatory upregulation of IL‑21R on Th17 cells, and profound systemic IL‑21 </w:t>
      </w:r>
    </w:p>
    <w:p w14:paraId="150E95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deficiency-suggest a dysregulated immune nexus in HIV/Mtb coinfection. This </w:t>
      </w:r>
    </w:p>
    <w:p w14:paraId="66BA64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profile may reflect an attempt to mount Th17‑mediated responses against Mtb </w:t>
      </w:r>
    </w:p>
    <w:p w14:paraId="28B90B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within a globally compromised immune system, potentially leading to ineffective </w:t>
      </w:r>
    </w:p>
    <w:p w14:paraId="7C2026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 control and heightened immunopathology. The IL‑21 axis appears </w:t>
      </w:r>
    </w:p>
    <w:p w14:paraId="6162CC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critically impaired, with target cells possibly hypersensitized to scarce ligand </w:t>
      </w:r>
    </w:p>
    <w:p w14:paraId="0FA0A4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via receptor upregulation.</w:t>
      </w:r>
    </w:p>
    <w:p w14:paraId="7B3416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HIV/Mtb coinfection is associated with a distinct immunoprofile </w:t>
      </w:r>
    </w:p>
    <w:p w14:paraId="0B577E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featuring a partially restored but still imbalanced Th17/Treg ratio, </w:t>
      </w:r>
    </w:p>
    <w:p w14:paraId="522D9B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compensatory upregulation of IL-21R on Th17 cells, and systemic IL-21 </w:t>
      </w:r>
    </w:p>
    <w:p w14:paraId="442292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deficiency. This dysregulated Th17/Treg-IL-21 axis may underlie the unique </w:t>
      </w:r>
    </w:p>
    <w:p w14:paraId="54E5D8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immunopathology of coinfection and warrants further investigation as a source of </w:t>
      </w:r>
    </w:p>
    <w:p w14:paraId="1E3CE0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biomarkers or therapeutic targets.</w:t>
      </w:r>
    </w:p>
    <w:p w14:paraId="1AD427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F3DD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Copyright© Bentham Science Publishers; For any queries, please email at </w:t>
      </w:r>
    </w:p>
    <w:p w14:paraId="17E952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epub@benthamscience.net.</w:t>
      </w:r>
    </w:p>
    <w:p w14:paraId="4AB50C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60D0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10.2174/011570162X478765260909062929</w:t>
      </w:r>
    </w:p>
    <w:p w14:paraId="62FDE7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42813626</w:t>
      </w:r>
    </w:p>
    <w:p w14:paraId="1C4199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E803A8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4. J Vis Exp. 2026 Oct 1;(236). doi: 10.3791/71858.</w:t>
      </w:r>
    </w:p>
    <w:p w14:paraId="0B178F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B82513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Preparation and Quality Evaluation of Anti-Tuberculosis Rifampicin-Loaded </w:t>
      </w:r>
    </w:p>
    <w:p w14:paraId="6159CF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Liposomes.</w:t>
      </w:r>
    </w:p>
    <w:p w14:paraId="0B8E24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2C833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Chen Z(1), Huang S(1), Chen K(1), Liu Y(1)(2).</w:t>
      </w:r>
    </w:p>
    <w:p w14:paraId="301CD7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318E573">
      <w:pP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Zhiya Chen,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Sirui Huang,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Kaier Chen,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Yan Liu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</w:p>
    <w:p w14:paraId="74DBB8A6">
      <w:pPr>
        <w:rPr>
          <w:rFonts w:hint="eastAsia" w:ascii="宋体" w:hAnsi="宋体" w:eastAsia="宋体" w:cs="宋体"/>
          <w:b/>
          <w:bCs w:val="0"/>
          <w:color w:val="0070C0"/>
          <w:szCs w:val="24"/>
        </w:rPr>
      </w:pP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*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>Yan Liu</w:t>
      </w:r>
      <w:r>
        <w:rPr>
          <w:rFonts w:hint="eastAsia" w:ascii="宋体" w:hAnsi="宋体" w:eastAsia="宋体" w:cs="宋体"/>
          <w:b/>
          <w:bCs w:val="0"/>
          <w:color w:val="0070C0"/>
          <w:szCs w:val="24"/>
          <w:lang w:val="en-US" w:eastAsia="zh-CN"/>
        </w:rPr>
        <w:t>,</w:t>
      </w:r>
      <w:r>
        <w:rPr>
          <w:rFonts w:hint="eastAsia" w:ascii="宋体" w:hAnsi="宋体" w:eastAsia="宋体" w:cs="宋体"/>
          <w:b/>
          <w:bCs w:val="0"/>
          <w:color w:val="0070C0"/>
          <w:szCs w:val="24"/>
        </w:rPr>
        <w:t xml:space="preserve"> yanliu@gdut.edu.cn.</w:t>
      </w:r>
    </w:p>
    <w:p w14:paraId="4496B81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E6EC0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72615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(1)School of Chemical Engineering and Light Industry, Guangdong University of </w:t>
      </w:r>
    </w:p>
    <w:p w14:paraId="525D5AD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Technology.</w:t>
      </w:r>
    </w:p>
    <w:p w14:paraId="2FADC81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(2)Guangdong Provincial Key Laboratory of Plant Resources Biorefinery, Guangdong </w:t>
      </w:r>
    </w:p>
    <w:p w14:paraId="21AD1B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 of Technology; yanliu@gdut.edu.cn.</w:t>
      </w:r>
    </w:p>
    <w:p w14:paraId="32CE23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57339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(TB), caused by Mycobacterium tuberculosis (MTB), remains a leading </w:t>
      </w:r>
    </w:p>
    <w:p w14:paraId="6D66D8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global infectious killer with a heavy disease burden in China, exacerbated by </w:t>
      </w:r>
    </w:p>
    <w:p w14:paraId="6B646C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spread of multidrug/rifampicin-resistant TB and critical limitations of </w:t>
      </w:r>
    </w:p>
    <w:p w14:paraId="198873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conventional chemotherapy-including poor drug penetration, severe systemic </w:t>
      </w:r>
    </w:p>
    <w:p w14:paraId="2E12BC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toxicities, and low treatment compliance. Liposomal delivery systems offer </w:t>
      </w:r>
    </w:p>
    <w:p w14:paraId="7630A2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unique advantages for anti-TB therapy, yet their development is hindered by </w:t>
      </w:r>
    </w:p>
    <w:p w14:paraId="5158DA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inconsistent preparation processes, low drug loading efficiency, and the lack of </w:t>
      </w:r>
    </w:p>
    <w:p w14:paraId="16E16E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standardized quality evaluation framework. In this study, the thin-film </w:t>
      </w:r>
    </w:p>
    <w:p w14:paraId="467DA03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hydration method, combined with ultrasonic treatment and filtration, was used to </w:t>
      </w:r>
    </w:p>
    <w:p w14:paraId="3B1090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prepare rifampicin-loaded nanoliposomes with different </w:t>
      </w:r>
    </w:p>
    <w:p w14:paraId="780BCA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phospholipid-to-cholesterol ratios. A validated high-performance liquid </w:t>
      </w:r>
    </w:p>
    <w:p w14:paraId="1EFF30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chromatography (HPLC) method was established to determine encapsulation </w:t>
      </w:r>
    </w:p>
    <w:p w14:paraId="29FCBC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efficiency and drug loading. Dynamic light scattering and transmission electron </w:t>
      </w:r>
    </w:p>
    <w:p w14:paraId="1DCDE9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microscopy (TEM) were used to characterize particle size, zeta potential, and </w:t>
      </w:r>
    </w:p>
    <w:p w14:paraId="1A445F1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microscopic morphology, and in vitro drug release profiles were analyzed by </w:t>
      </w:r>
    </w:p>
    <w:p w14:paraId="25373CD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dissolution testing. The optimized liposomes exhibited high encapsulation </w:t>
      </w:r>
    </w:p>
    <w:p w14:paraId="27B3D8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efficiency, ideal drug loading, uniform nanoscale particle size, good storage </w:t>
      </w:r>
    </w:p>
    <w:p w14:paraId="2F24D8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stability, and sustained in vitro drug release. This work provides standardized </w:t>
      </w:r>
    </w:p>
    <w:p w14:paraId="5B90DB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experimental methods and a comprehensive quality evaluation system for the </w:t>
      </w:r>
    </w:p>
    <w:p w14:paraId="43EB33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 of anti-TB liposomes, supporting the clinical translation of </w:t>
      </w:r>
    </w:p>
    <w:p w14:paraId="03F5FA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liposomal delivery systems for TB treatment.</w:t>
      </w:r>
    </w:p>
    <w:p w14:paraId="244B26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CF33B6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10.3791/71858</w:t>
      </w:r>
    </w:p>
    <w:p w14:paraId="1EDB56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42825511 [Indexed for MEDLINE]</w:t>
      </w:r>
    </w:p>
    <w:p w14:paraId="68B8C2D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0E63A89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. Mol Biomed. 2026 Oct 10;7(1):203. doi: 10.1186/s43556-026-00610-5.</w:t>
      </w:r>
    </w:p>
    <w:p w14:paraId="794017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4B719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Recent advances in antituberculosis drugs and therapeutics: from mechanistic </w:t>
      </w:r>
    </w:p>
    <w:p w14:paraId="1D64C4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breakthroughs to clinical translation.</w:t>
      </w:r>
    </w:p>
    <w:p w14:paraId="1B6BE5D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59D8C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Pan Z(#)(1), Liu G(#)(1), Li Y(#)(1), Yan H(1), Peng Y(1), Wang Y(1), Gong H(2), </w:t>
      </w:r>
    </w:p>
    <w:p w14:paraId="269AF4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Du J(3), Wei S(4)(5).</w:t>
      </w:r>
    </w:p>
    <w:p w14:paraId="18409B1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10B013E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Zhixiang Pan,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Guan Liu,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Yuehua Li,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Hegui Yan,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Yu Peng,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Yiyi Wang,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Hongri Gong,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Juan Du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Shuang Wei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3B653C6F">
      <w:pPr>
        <w:jc w:val="left"/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*Corresp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 xml:space="preserve">ondence: Juan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instrText xml:space="preserve"> HYPERLINK "mailto:Du,dudu1109@126.com;" </w:instrTex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fldChar w:fldCharType="separate"/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Du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dudu1109@126.com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;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fldChar w:fldCharType="end"/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Shuang Wei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shuangwei@tjh.tjmu.edu.cn</w:t>
      </w:r>
    </w:p>
    <w:p w14:paraId="4BF403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69C64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3C61CD5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(1)Wuhan Pulmonary Hospital (Wuhan Tuberculosis Prevention and Control </w:t>
      </w:r>
    </w:p>
    <w:p w14:paraId="0D67E2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Institute), Hubei Branch of National Clinical Research Center for Infectious </w:t>
      </w:r>
    </w:p>
    <w:p w14:paraId="1D299F7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Diseases, Wuhan, Hubei, 430030, China.</w:t>
      </w:r>
    </w:p>
    <w:p w14:paraId="7622C0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(2)State Key Laboratory of Medicinal Chemical Biology and College of Life </w:t>
      </w:r>
    </w:p>
    <w:p w14:paraId="0054AB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Sciences, Nankai University, Tianjin, 300071, China.</w:t>
      </w:r>
    </w:p>
    <w:p w14:paraId="279311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(3)Wuhan Pulmonary Hospital (Wuhan Tuberculosis Prevention and Control </w:t>
      </w:r>
    </w:p>
    <w:p w14:paraId="6CD3606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Institute), Hubei Branch of National Clinical Research Center for Infectious </w:t>
      </w:r>
    </w:p>
    <w:p w14:paraId="445025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Diseases, Wuhan, Hubei, 430030, China. dudu1109@126.com.</w:t>
      </w:r>
    </w:p>
    <w:p w14:paraId="496D0D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(4)Wuhan Pulmonary Hospital (Wuhan Tuberculosis Prevention and Control </w:t>
      </w:r>
    </w:p>
    <w:p w14:paraId="768F36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Institute), Hubei Branch of National Clinical Research Center for Infectious </w:t>
      </w:r>
    </w:p>
    <w:p w14:paraId="115415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Diseases, Wuhan, Hubei, 430030, China. shuangwei@tjh.tjmu.edu.cn.</w:t>
      </w:r>
    </w:p>
    <w:p w14:paraId="6653524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(5)Department of Respiratory and Critical Care Medicine, National Health </w:t>
      </w:r>
    </w:p>
    <w:p w14:paraId="7DFE6B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Commission (NHC) Key Laboratory of Respiratory Disease, Tongji Hospital, Tongji </w:t>
      </w:r>
    </w:p>
    <w:p w14:paraId="41721F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Medical College, Huazhong University of Science and Technology, Wuhan, Hubei, </w:t>
      </w:r>
    </w:p>
    <w:p w14:paraId="527F01F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430030, China. shuangwei@tjh.tjmu.edu.cn.</w:t>
      </w:r>
    </w:p>
    <w:p w14:paraId="2AFF96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(#)Contributed equally</w:t>
      </w:r>
    </w:p>
    <w:p w14:paraId="48D48B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291F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(TB), caused by Mycobacterium tuberculosis, reclaimed its status as </w:t>
      </w:r>
    </w:p>
    <w:p w14:paraId="082710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deadliest single-pathogen infectious disease globally in 2023, accounting </w:t>
      </w:r>
    </w:p>
    <w:p w14:paraId="660F22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10.8 million new cases and 1.25 million deaths in 2023. The escalating </w:t>
      </w:r>
    </w:p>
    <w:p w14:paraId="3503A66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crisis of drug-resistant TB, suboptimal BCG vaccine efficacy in adults, and </w:t>
      </w:r>
    </w:p>
    <w:p w14:paraId="4B6C49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persistent treatment gaps for vulnerable populations collectively drive an </w:t>
      </w:r>
    </w:p>
    <w:p w14:paraId="42994E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urgent shift toward mechanism-driven, precision-oriented therapeutic </w:t>
      </w:r>
    </w:p>
    <w:p w14:paraId="05F1F8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strategies.This review presents a critically integrated appraisal of anti-TB </w:t>
      </w:r>
    </w:p>
    <w:p w14:paraId="185E9BD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research advances spanning 2020 to 2025, drawing on structural biology, </w:t>
      </w:r>
    </w:p>
    <w:p w14:paraId="265C20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multi-omics, and real-world clinical evidence. It distinguishes itself from </w:t>
      </w:r>
    </w:p>
    <w:p w14:paraId="241B88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conventional descriptive literature compilations through systematic </w:t>
      </w:r>
    </w:p>
    <w:p w14:paraId="093C40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cross-population efficacy comparisons, in-depth dissection of translational </w:t>
      </w:r>
    </w:p>
    <w:p w14:paraId="3545F2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bottlenecks, and explicit maturity stratification of emerging biotherapies. We </w:t>
      </w:r>
    </w:p>
    <w:p w14:paraId="718E437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synthesize progress across six interconnected domains: mechanistic insights into </w:t>
      </w:r>
    </w:p>
    <w:p w14:paraId="107BAF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drug targets and spatiotemporal resistance evolution, novel short-course </w:t>
      </w:r>
    </w:p>
    <w:p w14:paraId="621CE65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therapeutic regimens, precision medicine strategies, host-directed therapies, </w:t>
      </w:r>
    </w:p>
    <w:p w14:paraId="05C913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targeted delivery systems for extrapulmonary TB, and next-generation vaccine </w:t>
      </w:r>
    </w:p>
    <w:p w14:paraId="63402A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development. Three transformative breakthroughs are particularly highlighted: </w:t>
      </w:r>
    </w:p>
    <w:p w14:paraId="31F9EC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structural biology-guided rational drug design, spatial immune profiling of </w:t>
      </w:r>
    </w:p>
    <w:p w14:paraId="58F13F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tuberculous granulomas, and AI-assisted diagnostic pipelines.We conclude by </w:t>
      </w:r>
    </w:p>
    <w:p w14:paraId="44BD2F1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delineating priority research directions aligned with the WHO End TB Strategy, </w:t>
      </w:r>
    </w:p>
    <w:p w14:paraId="716B7C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providing a translational roadmap to advance global TB elimination efforts. This </w:t>
      </w:r>
    </w:p>
    <w:p w14:paraId="649E0C8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rigorous, multi-dimensional synthesis offers an authoritative reference for </w:t>
      </w:r>
    </w:p>
    <w:p w14:paraId="24C928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advancing basic and translational anti-TB research and informing global public </w:t>
      </w:r>
    </w:p>
    <w:p w14:paraId="4AAA37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health strategy.</w:t>
      </w:r>
    </w:p>
    <w:p w14:paraId="44D113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0F0C65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2026. The Author(s).</w:t>
      </w:r>
    </w:p>
    <w:p w14:paraId="661358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50AD6A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10.1186/s43556-026-00610-5</w:t>
      </w:r>
    </w:p>
    <w:p w14:paraId="53FD8C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42859361 [Indexed for MEDLINE]</w:t>
      </w:r>
    </w:p>
    <w:p w14:paraId="7C17085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7ADAC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PLoS One. 2026 Oct 9;21(10):e0358349. doi: 10.1371/journal.pone.0358349. </w:t>
      </w:r>
    </w:p>
    <w:p w14:paraId="2DA8097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591AB8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C69C8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disease burden trends, drivers, and projections to 2050 in China </w:t>
      </w:r>
    </w:p>
    <w:p w14:paraId="3B4C6C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the wider Central Asian region, 1990-2023.</w:t>
      </w:r>
    </w:p>
    <w:p w14:paraId="6E5271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F690E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Tuohetaerbaike B(1), Mulali D(2), Borhani M(1)(3), Wang K(4)(5), Zhang W(1)(6), </w:t>
      </w:r>
    </w:p>
    <w:p w14:paraId="3B41BC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Wen H(1)(3)(7).</w:t>
      </w:r>
    </w:p>
    <w:p w14:paraId="465E5B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16EB7B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Bahetibieke Tuohetaerbaike,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Dina Mulali,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Mehdi Borhani,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Kai Wang,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Wenbao Zhang,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Hao Wen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45F766E7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*Hao Wen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dr.wenhao@163.com</w:t>
      </w:r>
    </w:p>
    <w:p w14:paraId="6BEEE2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D52E7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9FE69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(1)State Key Laboratory of Pathogenesis, Prevention and Treatment of High </w:t>
      </w:r>
    </w:p>
    <w:p w14:paraId="0A3FD2E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Incidence Diseases in Central Asia, Xinjiang Medical University, Urumqi, China.</w:t>
      </w:r>
    </w:p>
    <w:p w14:paraId="1478D4C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(2)Respiratory and Critical Care Medicine Center, People's Hospital of Xinjiang </w:t>
      </w:r>
    </w:p>
    <w:p w14:paraId="5DA5FD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Uygur Autonomous Region, Urumqi, Xinjiang, China.</w:t>
      </w:r>
    </w:p>
    <w:p w14:paraId="162F8A0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(3)Joint Key Laboratory for International Cooperation on Major Diseases in </w:t>
      </w:r>
    </w:p>
    <w:p w14:paraId="4C2695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Central Asia, Xinjiang Medical University, Urumqi, China.</w:t>
      </w:r>
    </w:p>
    <w:p w14:paraId="49682E5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(4)College of Medical Engineering and Technology, Xinjiang Medical University, </w:t>
      </w:r>
    </w:p>
    <w:p w14:paraId="51EBA2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Urumqi, Xinjiang, China.</w:t>
      </w:r>
    </w:p>
    <w:p w14:paraId="174D121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(5)Institute of Medical Engineering Interdisciplinary Research, Urumqi, </w:t>
      </w:r>
    </w:p>
    <w:p w14:paraId="2E5B5AA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Xinjiang, China.</w:t>
      </w:r>
    </w:p>
    <w:p w14:paraId="0C7807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(6)Clinical Medicine Research Institute, The First Affiliated Hospital of </w:t>
      </w:r>
    </w:p>
    <w:p w14:paraId="7F20D9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Xinjiang Medical University, Urumqi, Xinjiang, China.</w:t>
      </w:r>
    </w:p>
    <w:p w14:paraId="36DAA8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(7)Department of Hepatobiliary and Hydatid Surgery, The First Affiliated </w:t>
      </w:r>
    </w:p>
    <w:p w14:paraId="1A7E04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Hospital of Xinjiang Medical University, Urumqi, China.</w:t>
      </w:r>
    </w:p>
    <w:p w14:paraId="6AEF3F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DC50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Tuberculosis (TB) remains a leading infectious killer, with high </w:t>
      </w:r>
    </w:p>
    <w:p w14:paraId="5F921B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burden concentrated in China and wider Central Asia. Integrated long-term trend </w:t>
      </w:r>
    </w:p>
    <w:p w14:paraId="12C1FA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 and forecasting for this region are scarce. We aimed to quantify TB </w:t>
      </w:r>
    </w:p>
    <w:p w14:paraId="22AFCE0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burden trends, drivers, inequalities, and 2050 projections across China and </w:t>
      </w:r>
    </w:p>
    <w:p w14:paraId="093353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wider Central Asia (1990-2023).</w:t>
      </w:r>
    </w:p>
    <w:p w14:paraId="1378DB4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used Global Burden of Disease 2023 data to estimate age-standardized </w:t>
      </w:r>
    </w:p>
    <w:p w14:paraId="5EBF1C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incidence, prevalence, mortality, and disability-adjusted life years (DALYs). </w:t>
      </w:r>
    </w:p>
    <w:p w14:paraId="07D1DE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Joinpoint, age-period-cohort, decomposition, and Bayesian APC models were </w:t>
      </w:r>
    </w:p>
    <w:p w14:paraId="605322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applied. Socioeconomic inequalities were assessed via Socio-demographic Index </w:t>
      </w:r>
    </w:p>
    <w:p w14:paraId="22EEF8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(SDI) and Concentration Index.</w:t>
      </w:r>
    </w:p>
    <w:p w14:paraId="33F445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China achieved steep declines in age-standardized mortality (-94.2%) </w:t>
      </w:r>
    </w:p>
    <w:p w14:paraId="21DB0C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DALYs (-92.4%), driven by epidemiological gains offsetting population growth </w:t>
      </w:r>
    </w:p>
    <w:p w14:paraId="699A71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aging. Central Asia improved moderately but heterogeneously; population </w:t>
      </w:r>
    </w:p>
    <w:p w14:paraId="64AC08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growth diluted gains, with Tajikistan showing rising absolute burden. TB burden </w:t>
      </w:r>
    </w:p>
    <w:p w14:paraId="7E080D7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correlated negatively with SDI; socioeconomic inequality fell markedly, </w:t>
      </w:r>
    </w:p>
    <w:p w14:paraId="18E5FD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especially for mortality (-69.0%), but persisted among low-SDI groups. By 2050, </w:t>
      </w:r>
    </w:p>
    <w:p w14:paraId="63041D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model projections suggest that mortality targets may be achievable under current </w:t>
      </w:r>
    </w:p>
    <w:p w14:paraId="14D962D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trends, although uncertainty remains substantial.</w:t>
      </w:r>
    </w:p>
    <w:p w14:paraId="2C8DE2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China has undergone a substantial TB epidemiological transition </w:t>
      </w:r>
    </w:p>
    <w:p w14:paraId="724B8B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characterized by marked declines in mortality and DALYs. Targeted </w:t>
      </w:r>
    </w:p>
    <w:p w14:paraId="4F1833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interventions-latent TB treatment in China, accelerated case finding and </w:t>
      </w:r>
    </w:p>
    <w:p w14:paraId="1541213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cross-border collaboration in Central Asia-and strengthened regional cooperation </w:t>
      </w:r>
    </w:p>
    <w:p w14:paraId="29B9F85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are critical to advance regional TB elimination.</w:t>
      </w:r>
    </w:p>
    <w:p w14:paraId="74B41A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3A629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Copyright: © 2026 Tuohetaerbaike et al. This is an open access article </w:t>
      </w:r>
    </w:p>
    <w:p w14:paraId="10D0329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distributed under the terms of the Creative Commons Attribution License, which </w:t>
      </w:r>
    </w:p>
    <w:p w14:paraId="41BB5E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permits unrestricted use, distribution, and reproduction in any medium, provided </w:t>
      </w:r>
    </w:p>
    <w:p w14:paraId="315557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the original author and source are credited.</w:t>
      </w:r>
    </w:p>
    <w:p w14:paraId="0C05E0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8DED7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10.1371/journal.pone.0358349</w:t>
      </w:r>
    </w:p>
    <w:p w14:paraId="4DF7EA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PMC13652273</w:t>
      </w:r>
    </w:p>
    <w:p w14:paraId="0B483A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42853791 [Indexed for MEDLINE]</w:t>
      </w:r>
    </w:p>
    <w:p w14:paraId="114B0B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534B5C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Expert Rev Mol Diagn. 2026 Oct 10:1-12. doi: 10.1080/14737159.2026.2744694. </w:t>
      </w:r>
    </w:p>
    <w:p w14:paraId="05ED11A3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Online ahead of print.</w:t>
      </w:r>
    </w:p>
    <w:p w14:paraId="1617BB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FD0CF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novel serum four-biomarker biosignature and field-deployable colloidal gold </w:t>
      </w:r>
    </w:p>
    <w:p w14:paraId="3286C9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strip for accurate identification of subclinical and active tuberculosis.</w:t>
      </w:r>
    </w:p>
    <w:p w14:paraId="60E661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8E75B3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Feng J(1), Duan H(1).</w:t>
      </w:r>
    </w:p>
    <w:p w14:paraId="4B15D19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FAB0B6E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Jingyuan Feng,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Hongfei Duan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338613D5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CONTACT Hongfei Duan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dhf708978@163.com</w:t>
      </w:r>
    </w:p>
    <w:p w14:paraId="174E7F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6DA4EE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A7C803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(1)Tuberculosis Department, Beijing Chest Hospital, Capital Medical University / </w:t>
      </w:r>
    </w:p>
    <w:p w14:paraId="4AFFB4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Beijing Tuberculosis and Thoracic Tumor Research Institute, Beijing, China.</w:t>
      </w:r>
    </w:p>
    <w:p w14:paraId="51E847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95B22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Current TB diagnostics fail to detect subclinical and paucibacillary </w:t>
      </w:r>
    </w:p>
    <w:p w14:paraId="10263B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cases, hindering End TB Strategy goals. We validated a novel serum </w:t>
      </w:r>
    </w:p>
    <w:p w14:paraId="14E06BD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four-biomarker biosignature and developed a colloidal gold strip for accurate </w:t>
      </w:r>
    </w:p>
    <w:p w14:paraId="2362C36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subclinical and active TB identification.</w:t>
      </w:r>
    </w:p>
    <w:p w14:paraId="0492F58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 total of 280 participants (HC, PN, STB, ATB; n = 70 each) were </w:t>
      </w:r>
    </w:p>
    <w:p w14:paraId="4CEBE3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enrolled. Serum PDGFC, CXCL9, CXCL11, and CCL1 were measured by ELISA in </w:t>
      </w:r>
    </w:p>
    <w:p w14:paraId="0B7F09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training (n = 200) and external validation (n = 80) cohorts. Six </w:t>
      </w:r>
    </w:p>
    <w:p w14:paraId="1ADEDAF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machine‑learning algorithms built diagnostic models. A four-plex colloidal gold </w:t>
      </w:r>
    </w:p>
    <w:p w14:paraId="6CCC3B6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strip with simplified visual criteria was developed and compared against smear, </w:t>
      </w:r>
    </w:p>
    <w:p w14:paraId="3D44AD9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TB DNA, and IGRA.</w:t>
      </w:r>
    </w:p>
    <w:p w14:paraId="1254950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RESULTS: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All biomarkers were significantly elevated in STB/ATB versus HC/PN </w:t>
      </w:r>
    </w:p>
    <w:p w14:paraId="61D83A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(p &lt; 0.001), confirming Mtb-specific responses. Logistic regression achieved </w:t>
      </w:r>
    </w:p>
    <w:p w14:paraId="0DACB16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97.5% validation sensitivity. The strip using a '≥2 positive lines' criterion </w:t>
      </w:r>
    </w:p>
    <w:p w14:paraId="37077F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yielded 96.0% sensitivity, 95.0% specificity, 95.5% accuracy, and outperformed </w:t>
      </w:r>
    </w:p>
    <w:p w14:paraId="375B37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conventional tests, effectively identifying smear-negative subclinical TB.</w:t>
      </w:r>
    </w:p>
    <w:p w14:paraId="260E9E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This biosignature is a robust TB diagnostic tool. The companion </w:t>
      </w:r>
    </w:p>
    <w:p w14:paraId="58DE6B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strip offers a rapid, sputum-free, instrument-minimal solution for decentralized </w:t>
      </w:r>
    </w:p>
    <w:p w14:paraId="0132AF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screening, bridging biomarker discovery and field application in </w:t>
      </w:r>
    </w:p>
    <w:p w14:paraId="002FE4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resource-limited settings.</w:t>
      </w:r>
    </w:p>
    <w:p w14:paraId="6E28E70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5ABDC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10.1080/14737159.2026.2744694</w:t>
      </w:r>
    </w:p>
    <w:p w14:paraId="1A05EAE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42852489</w:t>
      </w:r>
    </w:p>
    <w:p w14:paraId="7F80E0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0ABBC95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Front Immunol. 2026 Oct 5;17:1933352. doi: 10.3389/fimmu.2026.1933352. </w:t>
      </w:r>
    </w:p>
    <w:p w14:paraId="08459A46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0BC616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C0515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Necro-mosaic: a lesion-aware framework for testing programmed </w:t>
      </w:r>
    </w:p>
    <w:p w14:paraId="66A6753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cell-death-associated mechanisms in tuberculosis.</w:t>
      </w:r>
    </w:p>
    <w:p w14:paraId="0F3BBF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B7AE6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Zhang Q(1)(2), Chang D(1)(2).</w:t>
      </w:r>
    </w:p>
    <w:p w14:paraId="374AA9F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CEF10F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Qing Zhang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De Chang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30F25DEF">
      <w:pPr>
        <w:jc w:val="left"/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*CORRESPONDENCE De Chang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changde@301hospital.com.cn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；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 xml:space="preserve"> Qing Zhang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 xml:space="preserve"> zq_10084@163.com</w:t>
      </w:r>
    </w:p>
    <w:p w14:paraId="799A34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7159FC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26AB24B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Pulmonary and Critical Care Medicine at the Seventh Medical </w:t>
      </w:r>
    </w:p>
    <w:p w14:paraId="60E9CE0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Center Chinese People's Liberation Army (PLA) General Hospital, Beijing, China.</w:t>
      </w:r>
    </w:p>
    <w:p w14:paraId="0EA454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(2)College of Pulmonary Critical Care Medicine of the Eighth Medical Center </w:t>
      </w:r>
    </w:p>
    <w:p w14:paraId="331604F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Chinese People's Liberation Army (PLA) General Hospital, Beijing, China.</w:t>
      </w:r>
    </w:p>
    <w:p w14:paraId="14DCDB9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018DE0C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 (TB) can progress despite substantial systemic immune activation, </w:t>
      </w:r>
    </w:p>
    <w:p w14:paraId="40437E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indicating that protection and immunopathology are shaped not only by the </w:t>
      </w:r>
    </w:p>
    <w:p w14:paraId="7FC63E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magnitude of host responses but also by their organization within individual </w:t>
      </w:r>
    </w:p>
    <w:p w14:paraId="4261F36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lesions. TB granulomas are heterogeneous tissue ecosystems in which cellular </w:t>
      </w:r>
    </w:p>
    <w:p w14:paraId="3FA8CD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composition, necrosis, vascular access, extracellular-matrix remodeling, </w:t>
      </w:r>
    </w:p>
    <w:p w14:paraId="3BA31B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metabolic stress, and local drug exposure vary across lesions and over time. </w:t>
      </w:r>
    </w:p>
    <w:p w14:paraId="1F8CC84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Spatial and single-cell technologies now enable these features to be </w:t>
      </w:r>
    </w:p>
    <w:p w14:paraId="7ED361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investigated at increasing resolution; however, spatial or molecular association </w:t>
      </w:r>
    </w:p>
    <w:p w14:paraId="2B49932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alone does not establish mechanism, causality, or therapeutic relevance. Here, </w:t>
      </w:r>
    </w:p>
    <w:p w14:paraId="496B6CE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propose the Necro-Mosaic framework as a hypothesis-generating, lesion-aware </w:t>
      </w:r>
    </w:p>
    <w:p w14:paraId="1BE8DE1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approach for investigating programmed cell death (PCD)-associated processes in </w:t>
      </w:r>
    </w:p>
    <w:p w14:paraId="24A476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TB. The framework is neither a mutually exclusive taxonomy nor a clinical </w:t>
      </w:r>
    </w:p>
    <w:p w14:paraId="23A830C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classification system. It considers three non-exclusive, mechanistically framed </w:t>
      </w:r>
    </w:p>
    <w:p w14:paraId="39C34EA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axes: F-axis, involving ferroptosis-associated lipid-peroxidation injury and </w:t>
      </w:r>
    </w:p>
    <w:p w14:paraId="0EFDE6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membrane damage; P-axis, involving coordinated inflammatory cell-death activity </w:t>
      </w:r>
    </w:p>
    <w:p w14:paraId="01494C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 PANoptosis-like features; and N-axis, involving neutrophil-associated </w:t>
      </w:r>
    </w:p>
    <w:p w14:paraId="454E24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extracellular activity, including NET-associated structures and effector </w:t>
      </w:r>
    </w:p>
    <w:p w14:paraId="17DF0D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processes. The anatomical distribution, co-occurrence, temporal sequence, and </w:t>
      </w:r>
    </w:p>
    <w:p w14:paraId="31C641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biological consequences of these axis-associated processes remain empirical </w:t>
      </w:r>
    </w:p>
    <w:p w14:paraId="4EB47F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questions. A single lesion may therefore exhibit one axis-associated pattern, </w:t>
      </w:r>
    </w:p>
    <w:p w14:paraId="1715D1B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several overlapping patterns, or no interpretable pattern. We distinguish </w:t>
      </w:r>
    </w:p>
    <w:p w14:paraId="1B8F5F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pathway capacity, pathway engagement, and mechanism-specific execution and </w:t>
      </w:r>
    </w:p>
    <w:p w14:paraId="18191E2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specify the measurements and controls required to support each level of </w:t>
      </w:r>
    </w:p>
    <w:p w14:paraId="5BEC6D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inference in situ. The framework also defines evidence as established, emerging, </w:t>
      </w:r>
    </w:p>
    <w:p w14:paraId="68FA09F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or hypothesis-generating according to the strength, reproducibility, resolution, </w:t>
      </w:r>
    </w:p>
    <w:p w14:paraId="716E6B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causal support of the available data. We propose falsifiable predictions to </w:t>
      </w:r>
    </w:p>
    <w:p w14:paraId="437380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determine whether F-, P-, or N-axis-associated processes act as drivers, </w:t>
      </w:r>
    </w:p>
    <w:p w14:paraId="0E102F9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amplifiers, or downstream correlates of destructive lesion evolution. Although </w:t>
      </w:r>
    </w:p>
    <w:p w14:paraId="4E7686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lesion-resolved host-directed therapy (HDT) is an important long-term objective, </w:t>
      </w:r>
    </w:p>
    <w:p w14:paraId="0FD2D91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current evidence does not support assigning lesion-level mechanistic profiles </w:t>
      </w:r>
    </w:p>
    <w:p w14:paraId="57CC3BA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from blood alone or using these axes to select clinical treatment. Progress will </w:t>
      </w:r>
    </w:p>
    <w:p w14:paraId="5F1D612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require prospective longitudinal studies, lesion-anchored multimodal validation, </w:t>
      </w:r>
    </w:p>
    <w:p w14:paraId="7A96072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perturbation and rescue experiments, spatial pharmacology, and explicit </w:t>
      </w:r>
    </w:p>
    <w:p w14:paraId="15AC9D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assessment of antimicrobial-preservation and safety risks. By prioritizing </w:t>
      </w:r>
    </w:p>
    <w:p w14:paraId="756897F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testable mechanisms over fixed spatial categories, Necro-Mosaic provides a </w:t>
      </w:r>
    </w:p>
    <w:p w14:paraId="7A86C7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structured framework for determining how PCD-associated processes may contribute </w:t>
      </w:r>
    </w:p>
    <w:p w14:paraId="43EFF8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TB lesion heterogeneity and for identifying which observations are </w:t>
      </w:r>
    </w:p>
    <w:p w14:paraId="1DAEC0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sufficiently validated to support future translational studies.</w:t>
      </w:r>
    </w:p>
    <w:p w14:paraId="263143E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531E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Zhang and Chang.</w:t>
      </w:r>
    </w:p>
    <w:p w14:paraId="2245CD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E7C5D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10.3389/fimmu.2026.1933352</w:t>
      </w:r>
    </w:p>
    <w:p w14:paraId="5761F52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PMC13648034</w:t>
      </w:r>
    </w:p>
    <w:p w14:paraId="7BC0C83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42852373 [Indexed for MEDLINE]</w:t>
      </w:r>
    </w:p>
    <w:p w14:paraId="5D79138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5895390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9. Am J Case Rep. 2026 Oct 7;27:e954366. doi: 10.12659/AJCR.954366.</w:t>
      </w:r>
    </w:p>
    <w:p w14:paraId="58AEBD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ACBCF0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 45-Year-Old Woman With 30-Year History of a Nodule of the Earlobe Diagnosed as </w:t>
      </w:r>
    </w:p>
    <w:p w14:paraId="0E3766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Lupus Vulgaris (Cutaneous Tuberculosis).</w:t>
      </w:r>
    </w:p>
    <w:p w14:paraId="14ED4E8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49F1A0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Zhang X(1), Xu Y(1), Song L(2), Wu M(1).</w:t>
      </w:r>
    </w:p>
    <w:p w14:paraId="14D06B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6E2B473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Xiaoyan Zhang,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Yating Xu,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Linyi Song,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Minzhi Wu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17F4FB8F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Minzhi Wu, e-mail: 44276276@qq.com</w:t>
      </w:r>
    </w:p>
    <w:p w14:paraId="746ECE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1A0FFE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93C6EA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Dermatology, The Fifth People's Hospital of Suzhou, Suzhou, </w:t>
      </w:r>
    </w:p>
    <w:p w14:paraId="5BE52A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Jiangsu, China.</w:t>
      </w:r>
    </w:p>
    <w:p w14:paraId="4A37656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Dermatology, The First Affiliated Hospital of Soochow </w:t>
      </w:r>
    </w:p>
    <w:p w14:paraId="181E04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University, Suzhou, Jiangsu, China.</w:t>
      </w:r>
    </w:p>
    <w:p w14:paraId="545AC3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A770C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Tuberculosis is a chronic granulomatous infection caused by </w:t>
      </w:r>
    </w:p>
    <w:p w14:paraId="37075D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Mycobacterium tuberculosis, which can affect multiple organs in the human body. </w:t>
      </w:r>
    </w:p>
    <w:p w14:paraId="3DC798F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Lupus vulgaris is the most common clinical type of cutaneous tuberculosis in </w:t>
      </w:r>
    </w:p>
    <w:p w14:paraId="536E69B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China. It typically follows a chronic course, with skin lesions that are </w:t>
      </w:r>
    </w:p>
    <w:p w14:paraId="50C77A8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difficult to heal, making it prone to misdiagnosis and missed diagnosis. This </w:t>
      </w:r>
    </w:p>
    <w:p w14:paraId="7DAC6F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 presents a case of chronic lupus vulgaris that remained untreated over an </w:t>
      </w:r>
    </w:p>
    <w:p w14:paraId="4215DA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exceptionally long duration, demonstrating that lupus vulgaris can manifest as a </w:t>
      </w:r>
    </w:p>
    <w:p w14:paraId="54D8D54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chronic inflammatory focus.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 CASE REPORT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This article reports a case of a </w:t>
      </w:r>
    </w:p>
    <w:p w14:paraId="0BB82F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45-year-old woman with a rash on her right earlobe for more than 30 years </w:t>
      </w:r>
    </w:p>
    <w:p w14:paraId="3F9F86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without pain, with occasionally itching. The rash presents as a red, thickened </w:t>
      </w:r>
    </w:p>
    <w:p w14:paraId="5674BE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plaque with yellow papules and pustules on the surface. She sought treatment at </w:t>
      </w:r>
    </w:p>
    <w:p w14:paraId="1522A86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hospitals and completed a few examinations. The histopathology revealed multiple </w:t>
      </w:r>
    </w:p>
    <w:p w14:paraId="0F6E4B5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epithelioid cell clusters surrounded by dense lymphocytic and histiocytic </w:t>
      </w:r>
    </w:p>
    <w:p w14:paraId="4605638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infiltration in the dermis. The interferon gamma release assay was positive. The </w:t>
      </w:r>
    </w:p>
    <w:p w14:paraId="4C9BB8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Xpert test was positive for Mycobacterium tuberculosis. Mycobacterial culture </w:t>
      </w:r>
    </w:p>
    <w:p w14:paraId="4A03FC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acid-fast staining were positive, and the cultured organism was identified </w:t>
      </w:r>
    </w:p>
    <w:p w14:paraId="2082F0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 Mycobacterium tuberculosis. The chest computed tomography showed a previous </w:t>
      </w:r>
    </w:p>
    <w:p w14:paraId="3DEB2D1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lesion in the right upper lobe. Based on these findings, the diagnosis was </w:t>
      </w:r>
    </w:p>
    <w:p w14:paraId="636D04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confirmed as lupus vulgaris on the right earlobe. After anti-tuberculosis </w:t>
      </w:r>
    </w:p>
    <w:p w14:paraId="247042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therapy, the skin lesions improved significantly. </w:t>
      </w: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CONCLUSIONS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The case showed </w:t>
      </w:r>
    </w:p>
    <w:p w14:paraId="7F7E5A0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that patients with persistent skin lesions, nodules, or ulcers, particularly </w:t>
      </w:r>
    </w:p>
    <w:p w14:paraId="7107D87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responding poorly to treatment, should undergo appropriate examinations to rule </w:t>
      </w:r>
    </w:p>
    <w:p w14:paraId="7F820D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out cutaneous tuberculosis, including lupus vulgaris.</w:t>
      </w:r>
    </w:p>
    <w:p w14:paraId="616987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90A5F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10.12659/AJCR.954366</w:t>
      </w:r>
    </w:p>
    <w:p w14:paraId="1ACF48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42842519 [Indexed for MEDLINE]</w:t>
      </w:r>
    </w:p>
    <w:p w14:paraId="525FD99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DA1FB1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Clin Ophthalmol. 2026 Oct 3;20:636135. doi: 10.2147/OPTH.S636135. eCollection </w:t>
      </w:r>
    </w:p>
    <w:p w14:paraId="46D979F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2026.</w:t>
      </w:r>
    </w:p>
    <w:p w14:paraId="6E99B7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CF882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Tubercular Uveitis: Multimodal Imaging, Immunologic Stratification, and a </w:t>
      </w:r>
    </w:p>
    <w:p w14:paraId="25EED0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Practical Framework for Diagnosis and Management.</w:t>
      </w:r>
    </w:p>
    <w:p w14:paraId="54C7807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AB7D6B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 R(1)(2), Yan M(2), Huang Z(2), Ye Y(2), Song Y(1)(2).</w:t>
      </w:r>
    </w:p>
    <w:p w14:paraId="285C518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852D2EA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Ruilong Li,Ming Yan,Zhen Huang,Ya Ye,Yanping Song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37D86A2F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 xml:space="preserve">Correspondence: Yanping Song, Email </w:t>
      </w:r>
      <w:r>
        <w:rPr>
          <w:rFonts w:hint="default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songyanping@medmail.com.cn</w:t>
      </w:r>
    </w:p>
    <w:p w14:paraId="4A5BCA4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75AFA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69D870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(1)The First School of Clinical Medicine, Southern Medical University, </w:t>
      </w:r>
    </w:p>
    <w:p w14:paraId="4B99157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Guangzhou, Guangdong Province, 510515, People's Republic of China.</w:t>
      </w:r>
    </w:p>
    <w:p w14:paraId="65123C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Ophthalmology, General Hospital of Central Theater Command, </w:t>
      </w:r>
    </w:p>
    <w:p w14:paraId="532D51D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Wuhan, Hubei Province, 430070, People's Republic of China.</w:t>
      </w:r>
    </w:p>
    <w:p w14:paraId="5D21898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2DBA8B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Tubercular uveitis (TBU) remains difficult to diagnose and monitor because </w:t>
      </w:r>
    </w:p>
    <w:p w14:paraId="11993A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microbiologic confirmation is uncommon and clinical phenotypes overlap with </w:t>
      </w:r>
    </w:p>
    <w:p w14:paraId="258F918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other inflammatory chorioretinal disorders. This narrative review integrates </w:t>
      </w:r>
    </w:p>
    <w:p w14:paraId="438B08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evidence from multimodal imaging, immune testing, systemic tuberculosis </w:t>
      </w:r>
    </w:p>
    <w:p w14:paraId="4639A9E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evaluation, molecular diagnostics, biomarkers, treatment response, and </w:t>
      </w:r>
    </w:p>
    <w:p w14:paraId="62B7074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monitoring to support a practical probability-based approach to suspected TBU. A </w:t>
      </w:r>
    </w:p>
    <w:p w14:paraId="7229CC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targeted search of PubMed, Embase, Web of Science, the Cochrane Library, and </w:t>
      </w:r>
    </w:p>
    <w:p w14:paraId="06F2055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Google Scholar was conducted for English-language literature through May 10, </w:t>
      </w:r>
    </w:p>
    <w:p w14:paraId="05D0AA9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2026, prioritizing consensus statements, systematic reviews, multicenter </w:t>
      </w:r>
    </w:p>
    <w:p w14:paraId="3B6DA87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studies, and clinically relevant imaging, biomarker, and treatment reports. </w:t>
      </w:r>
    </w:p>
    <w:p w14:paraId="49B8205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Enhanced-depth and swept-source optical coherence tomography, optical coherence </w:t>
      </w:r>
    </w:p>
    <w:p w14:paraId="1192E4C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tomography angiography, fundus autofluorescence, indocyanine green angiography, </w:t>
      </w:r>
    </w:p>
    <w:p w14:paraId="397C7DD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and ultra-widefield fluorescein angiography provide complementary information on </w:t>
      </w:r>
    </w:p>
    <w:p w14:paraId="28D5DB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choroidal granulomas, serpiginous-like choroiditis, retinal vasculitis, </w:t>
      </w:r>
    </w:p>
    <w:p w14:paraId="68884DC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ischemia, and paradoxical worsening. Tuberculin skin testing and </w:t>
      </w:r>
    </w:p>
    <w:p w14:paraId="63A84D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interferon-gamma release assays support tuberculosis attribution but do not </w:t>
      </w:r>
    </w:p>
    <w:p w14:paraId="42B4BFA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prove ocular causality, while polymerase chain reaction and emerging molecular </w:t>
      </w:r>
    </w:p>
    <w:p w14:paraId="533E324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assays increase specificity when positive. Cytokine profiles, type I interferon </w:t>
      </w:r>
    </w:p>
    <w:p w14:paraId="076573D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signatures, complement C1q, and cell-free DNA remain investigational. TBU should </w:t>
      </w:r>
    </w:p>
    <w:p w14:paraId="3A41B5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 managed as a clinicoradiologic and immunologic probability diagnosis that </w:t>
      </w:r>
    </w:p>
    <w:p w14:paraId="12135B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links phenotype, imaging, tuberculosis exposure evidence, mimic exclusion, </w:t>
      </w:r>
    </w:p>
    <w:p w14:paraId="65A1CBE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antitubercular therapy decisions, anti-inflammatory timing, and longitudinal </w:t>
      </w:r>
    </w:p>
    <w:p w14:paraId="6C5A8C1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monitoring to reduce both missed TBU and unnecessary treatment.</w:t>
      </w:r>
    </w:p>
    <w:p w14:paraId="5A1206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B51099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Li et al.</w:t>
      </w:r>
    </w:p>
    <w:p w14:paraId="10CE73D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3929C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10.2147/OPTH.S636135</w:t>
      </w:r>
    </w:p>
    <w:p w14:paraId="7AA8C7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PMC13644564</w:t>
      </w:r>
    </w:p>
    <w:p w14:paraId="1D4029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42846496</w:t>
      </w:r>
    </w:p>
    <w:p w14:paraId="7AC667F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7B8FD0B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Front Public Health. 2026 Sep 23;14:1900071. doi: 10.3389/fpubh.2026.1900071. </w:t>
      </w:r>
    </w:p>
    <w:p w14:paraId="4829C6E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4D20EE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DA7DE4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Impact of policy shifts and festival holidays on tuberculosis surveillance: a </w:t>
      </w:r>
    </w:p>
    <w:p w14:paraId="6EC385A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time-series analysis in Southwest China (2014-2024).</w:t>
      </w:r>
    </w:p>
    <w:p w14:paraId="21C8AE8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8F316C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Luo Q(1), Gong Q(1), Zheng Y(1), Yang D(1), Wang S(1).</w:t>
      </w:r>
    </w:p>
    <w:p w14:paraId="28AECEF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4052F99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Qinwen Luo,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Qin Gong,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Yan Zheng,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Danrong Yang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Shicui Wang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334D48F5">
      <w:pPr>
        <w:jc w:val="left"/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*CORRESPONDENCE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Danrong Yang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2385062792@qq.com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；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Shicui Wang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2060155928@qq.com</w:t>
      </w:r>
    </w:p>
    <w:p w14:paraId="1FE8B03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976F68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452F3F3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Tuberculosis Prevention and Control, Center for Disease Control </w:t>
      </w:r>
    </w:p>
    <w:p w14:paraId="5153913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and Prevention of Jiulongpo District, Chongqing, China.</w:t>
      </w:r>
    </w:p>
    <w:p w14:paraId="570966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437647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BACKGROUND: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Accurate forecasting of pulmonary tuberculosis (PTB) is frequently </w:t>
      </w:r>
    </w:p>
    <w:p w14:paraId="4ACF61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impeded by surveillance artifacts, most notably health policy shifts and </w:t>
      </w:r>
    </w:p>
    <w:p w14:paraId="58D485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festival holidays. This study proposes a practical epidemiological forecasting </w:t>
      </w:r>
    </w:p>
    <w:p w14:paraId="7F2230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framework to address these real-world disruptions within China's monitoring </w:t>
      </w:r>
    </w:p>
    <w:p w14:paraId="159F652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data.</w:t>
      </w:r>
    </w:p>
    <w:p w14:paraId="613E95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METHODS: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We utilized an 11-year historical cohort (2014-2024) from Jiulongpo </w:t>
      </w:r>
    </w:p>
    <w:p w14:paraId="061D783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District, Chongqing. To ensure longitudinal comparability, we first performed an </w:t>
      </w:r>
    </w:p>
    <w:p w14:paraId="0682CD2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epidemiological standardization to mitigate the artificial structural break </w:t>
      </w:r>
    </w:p>
    <w:p w14:paraId="1FC1617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caused by the 2018 diagnostic reclassification. To establish a robust </w:t>
      </w:r>
    </w:p>
    <w:p w14:paraId="1632DA7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"biological baseline" (the natural transmission trend devoid of reporting </w:t>
      </w:r>
    </w:p>
    <w:p w14:paraId="6762977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artifacts), a parsimonious SARIMA model was benchmarked against alternative </w:t>
      </w:r>
    </w:p>
    <w:p w14:paraId="748D16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statistical and modern machine learning algorithms, and validated via a </w:t>
      </w:r>
    </w:p>
    <w:p w14:paraId="78326BB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multi-year rolling window cross-validation (2022-2024).</w:t>
      </w:r>
    </w:p>
    <w:p w14:paraId="75B50C2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Rolling cross-validation confirmed SARIMA's temporal stability, </w:t>
      </w:r>
    </w:p>
    <w:p w14:paraId="72EBF99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effectively avoiding the overfitting tendencies observed in complex machine </w:t>
      </w:r>
    </w:p>
    <w:p w14:paraId="7C3DC3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learning models. The optimal SARIMA(0,1,1) × (0,1,1)12 model demonstrated high </w:t>
      </w:r>
    </w:p>
    <w:p w14:paraId="5CB59A6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predictive accuracy for the 2024 annual caseload (Relative Error: 6.17%). </w:t>
      </w:r>
    </w:p>
    <w:p w14:paraId="2BAB018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Notably, actual incidence in January and February fell significantly below the </w:t>
      </w:r>
    </w:p>
    <w:p w14:paraId="692932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forecasted 95% prediction intervals (PIs), which was immediately followed by a </w:t>
      </w:r>
    </w:p>
    <w:p w14:paraId="07DAC1C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reported "catch-up" spike in March. This reflects a temporary reporting </w:t>
      </w:r>
    </w:p>
    <w:p w14:paraId="0466FD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disruption associated with the Lunar New Year holidays, acting as a </w:t>
      </w:r>
    </w:p>
    <w:p w14:paraId="73AA5CD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socio-cultural filter.</w:t>
      </w:r>
    </w:p>
    <w:p w14:paraId="600B0C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Epidemiological standardization is an important prerequisite for </w:t>
      </w:r>
    </w:p>
    <w:p w14:paraId="39FD35B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accurate trend evaluation amidst policy shifts. Furthermore, by treating </w:t>
      </w:r>
    </w:p>
    <w:p w14:paraId="5FB78F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holiday-associated deviations as diagnostic indicators, this rigorously </w:t>
      </w:r>
    </w:p>
    <w:p w14:paraId="07F2CA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benchmarked framework functions as an anomaly detection tool to estimate </w:t>
      </w:r>
    </w:p>
    <w:p w14:paraId="66124B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potential notification delays. Although broader geographic application requires </w:t>
      </w:r>
    </w:p>
    <w:p w14:paraId="26A5B65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localized recalibration, this strategy provides crucial evidence for </w:t>
      </w:r>
    </w:p>
    <w:p w14:paraId="50DD027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post-holiday targeted Active Case Finding (ACF).</w:t>
      </w:r>
    </w:p>
    <w:p w14:paraId="32C8AC6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F39FED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Copyright © 2026 Luo, Gong, Zheng, Yang and Wang.</w:t>
      </w:r>
    </w:p>
    <w:p w14:paraId="0D0CCF1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F6421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10.3389/fpubh.2026.1900071</w:t>
      </w:r>
    </w:p>
    <w:p w14:paraId="04B888C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PMC13642786</w:t>
      </w:r>
    </w:p>
    <w:p w14:paraId="561656A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42845999 [Indexed for MEDLINE]</w:t>
      </w:r>
    </w:p>
    <w:p w14:paraId="1397B5E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990DBE2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 xml:space="preserve">. Front Med (Lausanne). 2026 Sep 23;13:1907126. doi: 10.3389/fmed.2026.1907126. </w:t>
      </w:r>
    </w:p>
    <w:p w14:paraId="1EF02707">
      <w:pPr>
        <w:rPr>
          <w:rFonts w:hint="eastAsia" w:ascii="宋体" w:hAnsi="宋体" w:eastAsia="宋体" w:cs="宋体"/>
          <w:b/>
          <w:bCs w:val="0"/>
          <w:color w:val="FF0000"/>
          <w:szCs w:val="24"/>
        </w:rPr>
      </w:pPr>
      <w:r>
        <w:rPr>
          <w:rFonts w:hint="eastAsia" w:ascii="宋体" w:hAnsi="宋体" w:eastAsia="宋体" w:cs="宋体"/>
          <w:b/>
          <w:bCs w:val="0"/>
          <w:color w:val="FF0000"/>
          <w:szCs w:val="24"/>
        </w:rPr>
        <w:t>eCollection 2026.</w:t>
      </w:r>
    </w:p>
    <w:p w14:paraId="6A154D7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211F7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Associations of recorded in-hospital linezolid and fluoroquinolone exposure with </w:t>
      </w:r>
    </w:p>
    <w:p w14:paraId="0DFB6A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mortality and documented drug-induced liver injury in non-HIV tuberculous </w:t>
      </w:r>
    </w:p>
    <w:p w14:paraId="38F048B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meningitis: a propensity score-weighted real-world cohort study.</w:t>
      </w:r>
    </w:p>
    <w:p w14:paraId="4CE7CBE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7B8B5A06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Zeng W(1), Xiao X(1), Liu Q(1), Chen S(2), Hu J(2), Wu Q(3).</w:t>
      </w:r>
    </w:p>
    <w:p w14:paraId="26F9B14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70502E9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Wengao Zeng,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Xiangzhi Xiao,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Qing Liu,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Sufen Chen,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Jue Hu,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Qiong Wu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val="en-US" w:eastAsia="zh-CN"/>
          <w14:textFill>
            <w14:solidFill>
              <w14:schemeClr w14:val="accent5"/>
            </w14:solidFill>
          </w14:textFill>
        </w:rPr>
        <w:t>*</w:t>
      </w:r>
    </w:p>
    <w:p w14:paraId="7410D994">
      <w:pP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*CORRESPONDENCE Qiong Wu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:lang w:eastAsia="zh-CN"/>
          <w14:textFill>
            <w14:solidFill>
              <w14:schemeClr w14:val="accent5"/>
            </w14:solidFill>
          </w14:textFill>
        </w:rPr>
        <w:t>，</w:t>
      </w:r>
      <w:r>
        <w:rPr>
          <w:rFonts w:hint="eastAsia" w:ascii="宋体" w:hAnsi="宋体" w:eastAsia="宋体" w:cs="宋体"/>
          <w:b/>
          <w:bCs w:val="0"/>
          <w:color w:val="4472C4" w:themeColor="accent5"/>
          <w:szCs w:val="24"/>
          <w14:textFill>
            <w14:solidFill>
              <w14:schemeClr w14:val="accent5"/>
            </w14:solidFill>
          </w14:textFill>
        </w:rPr>
        <w:t>wgz9988@163.com</w:t>
      </w:r>
    </w:p>
    <w:p w14:paraId="2A3EA1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3066734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Author information:</w:t>
      </w:r>
    </w:p>
    <w:p w14:paraId="7B29631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(1)Department of Neurology, The Second Hospital of Changsha (West Branch of </w:t>
      </w:r>
    </w:p>
    <w:p w14:paraId="4BD10C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Changsha Hospital for Maternal &amp; Child Health Care), Changsha, Hunan, China.</w:t>
      </w:r>
    </w:p>
    <w:p w14:paraId="5C2A35F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(2)Department of Neurology, The Affiliated Changsha Central Hospital, Hengyang </w:t>
      </w:r>
    </w:p>
    <w:p w14:paraId="420DAF2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Medical School, University of South China, Changsha, Hunan, China.</w:t>
      </w:r>
    </w:p>
    <w:p w14:paraId="2DD79EB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(3)Department of Neurosurgery, The Affiliated Changsha Central Hospital, </w:t>
      </w:r>
    </w:p>
    <w:p w14:paraId="4B60544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Hengyang Medical School, University of South China, Changsha, Hunan, China.</w:t>
      </w:r>
    </w:p>
    <w:p w14:paraId="20DD8BB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42398E0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 xml:space="preserve">BACKGROUND: 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Tuberculous meningitis (TBM) remains the most severe form of </w:t>
      </w:r>
    </w:p>
    <w:p w14:paraId="58AD81A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tuberculosis. Linezolid- and fluoroquinolone-containing regimens are used in </w:t>
      </w:r>
    </w:p>
    <w:p w14:paraId="4DBF3998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clinical practice, but their associations with mortality and specific toxicities </w:t>
      </w:r>
    </w:p>
    <w:p w14:paraId="575F731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in non-HIV TBM remain uncertain.</w:t>
      </w:r>
    </w:p>
    <w:p w14:paraId="4D5DF9E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METHODS: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We conducted a single-center retrospective cohort study of non-HIV </w:t>
      </w:r>
    </w:p>
    <w:p w14:paraId="1E7718D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patients with TBM hospitalized between October 2013 and January 2024. The </w:t>
      </w:r>
    </w:p>
    <w:p w14:paraId="2CABF6C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exposures were recorded linezolid use, fluoroquinolone-class use, and combined </w:t>
      </w:r>
    </w:p>
    <w:p w14:paraId="7C93A1AB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linezolid-fluoroquinolone use during the index hospitalization. Each indexed </w:t>
      </w:r>
    </w:p>
    <w:p w14:paraId="58B277BE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 was compared with no recorded use of that exposure; for the combined </w:t>
      </w:r>
    </w:p>
    <w:p w14:paraId="3EAC734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analysis, the comparator was not-both exposure (either agent alone or neither </w:t>
      </w:r>
    </w:p>
    <w:p w14:paraId="130E35E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agent). Outcomes were in-hospital all-cause death and drug-induced liver injury </w:t>
      </w:r>
    </w:p>
    <w:p w14:paraId="58639C2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(DILI) documented during the index hospitalization. Propensity score-based </w:t>
      </w:r>
    </w:p>
    <w:p w14:paraId="38E88C9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inverse probability of treatment weighting and doubly robust weighted logistic </w:t>
      </w:r>
    </w:p>
    <w:p w14:paraId="3AADAF5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regression with model-robust sandwich standard errors were used. Propensity </w:t>
      </w:r>
    </w:p>
    <w:p w14:paraId="756C953A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score matching, complete-case analysis, 20-dataset multiple imputation, a </w:t>
      </w:r>
    </w:p>
    <w:p w14:paraId="4B6F0F6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sensitivity analysis restricted to age, sex, diabetes mellitus, and </w:t>
      </w:r>
    </w:p>
    <w:p w14:paraId="4E7B063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immunodeficiency, and subgroup interaction analyses were performed.</w:t>
      </w:r>
    </w:p>
    <w:p w14:paraId="36C940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RESULTS: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Among 1,574 patients, 187 died in hospital and 116 had DILI documented </w:t>
      </w:r>
    </w:p>
    <w:p w14:paraId="5A76FB5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during the index hospitalization. Linezolid was recorded in 996 patients, </w:t>
      </w:r>
    </w:p>
    <w:p w14:paraId="0996A0F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fluoroquinolone-class therapy in 859, and both in 556. After weighting, all </w:t>
      </w:r>
    </w:p>
    <w:p w14:paraId="58A6AFBF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modeled covariates had absolute standardized mean differences below 0.10. None </w:t>
      </w:r>
    </w:p>
    <w:p w14:paraId="5BA75795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of the three recorded exposures was significantly associated with in-hospital </w:t>
      </w:r>
    </w:p>
    <w:p w14:paraId="387A2F5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death or DILI documented during the index hospitalization. Complete-case, </w:t>
      </w:r>
    </w:p>
    <w:p w14:paraId="3EB9F26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multiple-imputation, and temporally restricted sensitivity estimates were </w:t>
      </w:r>
    </w:p>
    <w:p w14:paraId="2A3CA1C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directionally consistent with the primary results. None of the prespecified </w:t>
      </w:r>
    </w:p>
    <w:p w14:paraId="383C0CA2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exposure-by-subgroup interactions was statistically significant after </w:t>
      </w:r>
    </w:p>
    <w:p w14:paraId="0D1A56A3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outcome-specific multiplicity adjustment.</w:t>
      </w:r>
    </w:p>
    <w:p w14:paraId="7154A4A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Cs w:val="24"/>
        </w:rPr>
        <w:t>CONCLUSIONS:</w:t>
      </w: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 Recorded in-hospital linezolid, fluoroquinolone, and combined </w:t>
      </w:r>
    </w:p>
    <w:p w14:paraId="6A0AFCB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exposure were not significantly associated with in-hospital death or DILI </w:t>
      </w:r>
    </w:p>
    <w:p w14:paraId="27F73EE9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documented during the index hospitalization in this cohort. The estimates apply </w:t>
      </w:r>
    </w:p>
    <w:p w14:paraId="4F436A9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to recorded inpatient exposure and DILI and do not establish the effects of </w:t>
      </w:r>
    </w:p>
    <w:p w14:paraId="572744F7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treatment initiation at a defined time or the overall safety of these regimens. </w:t>
      </w:r>
    </w:p>
    <w:p w14:paraId="6D02C83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 xml:space="preserve">For DILI, the data do not establish that the liver event occurred after </w:t>
      </w:r>
    </w:p>
    <w:p w14:paraId="03BAEDAC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linezolid or fluoroquinolone initiation.</w:t>
      </w:r>
    </w:p>
    <w:p w14:paraId="02CF20A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16E6BEB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© 2026 Zeng, Xiao, Liu, Chen, Hu and Wu.</w:t>
      </w:r>
    </w:p>
    <w:p w14:paraId="56D27F2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61D3EA04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DOI: 10.3389/fmed.2026.1907126</w:t>
      </w:r>
    </w:p>
    <w:p w14:paraId="5921FB51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PMCID: PMC13642016</w:t>
      </w:r>
    </w:p>
    <w:p w14:paraId="18A4F3E0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Cs w:val="24"/>
        </w:rPr>
        <w:t>PMID: 42845763</w:t>
      </w:r>
    </w:p>
    <w:p w14:paraId="15A9CCFD">
      <w:pPr>
        <w:rPr>
          <w:rFonts w:hint="eastAsia" w:ascii="宋体" w:hAnsi="宋体" w:eastAsia="宋体" w:cs="宋体"/>
          <w:b w:val="0"/>
          <w:bCs/>
          <w:color w:val="auto"/>
          <w:szCs w:val="24"/>
        </w:rPr>
      </w:pPr>
    </w:p>
    <w:p w14:paraId="520B6B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99"/>
    <w:rsid w:val="00000DB9"/>
    <w:rsid w:val="000014AB"/>
    <w:rsid w:val="00001D3A"/>
    <w:rsid w:val="00002158"/>
    <w:rsid w:val="0000344F"/>
    <w:rsid w:val="00003B7D"/>
    <w:rsid w:val="00004B8B"/>
    <w:rsid w:val="00004DDC"/>
    <w:rsid w:val="00004E0D"/>
    <w:rsid w:val="000053D4"/>
    <w:rsid w:val="00005626"/>
    <w:rsid w:val="00005C57"/>
    <w:rsid w:val="00005DF6"/>
    <w:rsid w:val="00006365"/>
    <w:rsid w:val="00006B5E"/>
    <w:rsid w:val="00006BCA"/>
    <w:rsid w:val="00006DF9"/>
    <w:rsid w:val="00007617"/>
    <w:rsid w:val="00007812"/>
    <w:rsid w:val="00007A28"/>
    <w:rsid w:val="00011C35"/>
    <w:rsid w:val="00012109"/>
    <w:rsid w:val="00012461"/>
    <w:rsid w:val="0001360E"/>
    <w:rsid w:val="0001363A"/>
    <w:rsid w:val="00013BEE"/>
    <w:rsid w:val="00014403"/>
    <w:rsid w:val="00015A87"/>
    <w:rsid w:val="00016B45"/>
    <w:rsid w:val="00016B5F"/>
    <w:rsid w:val="0001711E"/>
    <w:rsid w:val="0001736B"/>
    <w:rsid w:val="0001780F"/>
    <w:rsid w:val="00017F5F"/>
    <w:rsid w:val="0002050B"/>
    <w:rsid w:val="000212B5"/>
    <w:rsid w:val="00021B2B"/>
    <w:rsid w:val="00022216"/>
    <w:rsid w:val="00022C1A"/>
    <w:rsid w:val="00024C92"/>
    <w:rsid w:val="0002517A"/>
    <w:rsid w:val="0002533D"/>
    <w:rsid w:val="0002556C"/>
    <w:rsid w:val="00025EF3"/>
    <w:rsid w:val="00026721"/>
    <w:rsid w:val="00026903"/>
    <w:rsid w:val="00026B44"/>
    <w:rsid w:val="00030C8F"/>
    <w:rsid w:val="00031017"/>
    <w:rsid w:val="00032443"/>
    <w:rsid w:val="0003251D"/>
    <w:rsid w:val="000336F2"/>
    <w:rsid w:val="000341A3"/>
    <w:rsid w:val="000349DB"/>
    <w:rsid w:val="00034C47"/>
    <w:rsid w:val="00035160"/>
    <w:rsid w:val="000369F1"/>
    <w:rsid w:val="000377E0"/>
    <w:rsid w:val="00040D2C"/>
    <w:rsid w:val="000411E9"/>
    <w:rsid w:val="000419D1"/>
    <w:rsid w:val="00041F05"/>
    <w:rsid w:val="00042044"/>
    <w:rsid w:val="00042257"/>
    <w:rsid w:val="00042426"/>
    <w:rsid w:val="00042646"/>
    <w:rsid w:val="000426FD"/>
    <w:rsid w:val="00042BCC"/>
    <w:rsid w:val="00042F87"/>
    <w:rsid w:val="000430FF"/>
    <w:rsid w:val="000439C5"/>
    <w:rsid w:val="00043AA7"/>
    <w:rsid w:val="00043EC1"/>
    <w:rsid w:val="00043F59"/>
    <w:rsid w:val="0004433C"/>
    <w:rsid w:val="0004482E"/>
    <w:rsid w:val="00044BF9"/>
    <w:rsid w:val="00044C1D"/>
    <w:rsid w:val="000467F6"/>
    <w:rsid w:val="00046D3D"/>
    <w:rsid w:val="0004738B"/>
    <w:rsid w:val="0004796A"/>
    <w:rsid w:val="00047D8A"/>
    <w:rsid w:val="00050F4A"/>
    <w:rsid w:val="000512A8"/>
    <w:rsid w:val="000518ED"/>
    <w:rsid w:val="0005269D"/>
    <w:rsid w:val="00052F5C"/>
    <w:rsid w:val="00053092"/>
    <w:rsid w:val="00054174"/>
    <w:rsid w:val="000542D4"/>
    <w:rsid w:val="0005483D"/>
    <w:rsid w:val="00055647"/>
    <w:rsid w:val="000557AE"/>
    <w:rsid w:val="00055A35"/>
    <w:rsid w:val="00055DAE"/>
    <w:rsid w:val="00055E67"/>
    <w:rsid w:val="0005622B"/>
    <w:rsid w:val="00056868"/>
    <w:rsid w:val="00056925"/>
    <w:rsid w:val="00056A0E"/>
    <w:rsid w:val="00056B72"/>
    <w:rsid w:val="0005708E"/>
    <w:rsid w:val="000570CD"/>
    <w:rsid w:val="00057CFD"/>
    <w:rsid w:val="000608E2"/>
    <w:rsid w:val="00061893"/>
    <w:rsid w:val="00061C4A"/>
    <w:rsid w:val="00062457"/>
    <w:rsid w:val="00063178"/>
    <w:rsid w:val="0006337A"/>
    <w:rsid w:val="000637F3"/>
    <w:rsid w:val="00063930"/>
    <w:rsid w:val="00063E49"/>
    <w:rsid w:val="000650D3"/>
    <w:rsid w:val="00065A57"/>
    <w:rsid w:val="00065B56"/>
    <w:rsid w:val="000660CB"/>
    <w:rsid w:val="00066C6B"/>
    <w:rsid w:val="0006702C"/>
    <w:rsid w:val="000672B8"/>
    <w:rsid w:val="00070260"/>
    <w:rsid w:val="0007069D"/>
    <w:rsid w:val="00070FE6"/>
    <w:rsid w:val="000716E0"/>
    <w:rsid w:val="00071D85"/>
    <w:rsid w:val="00071F83"/>
    <w:rsid w:val="00073164"/>
    <w:rsid w:val="0007482C"/>
    <w:rsid w:val="00074A4F"/>
    <w:rsid w:val="00075067"/>
    <w:rsid w:val="000750A2"/>
    <w:rsid w:val="000751FE"/>
    <w:rsid w:val="00075D82"/>
    <w:rsid w:val="00075F42"/>
    <w:rsid w:val="0007684E"/>
    <w:rsid w:val="00076855"/>
    <w:rsid w:val="00076884"/>
    <w:rsid w:val="00076A1E"/>
    <w:rsid w:val="00076E62"/>
    <w:rsid w:val="00076F4D"/>
    <w:rsid w:val="0007729A"/>
    <w:rsid w:val="0007790C"/>
    <w:rsid w:val="0008093D"/>
    <w:rsid w:val="00080EB3"/>
    <w:rsid w:val="00081087"/>
    <w:rsid w:val="000811D4"/>
    <w:rsid w:val="000815C7"/>
    <w:rsid w:val="00082408"/>
    <w:rsid w:val="00082565"/>
    <w:rsid w:val="00082B2E"/>
    <w:rsid w:val="00082B6A"/>
    <w:rsid w:val="00082EB9"/>
    <w:rsid w:val="00083766"/>
    <w:rsid w:val="00083B28"/>
    <w:rsid w:val="00083C1E"/>
    <w:rsid w:val="00083CDE"/>
    <w:rsid w:val="00083F4F"/>
    <w:rsid w:val="00084611"/>
    <w:rsid w:val="00085CBB"/>
    <w:rsid w:val="00086220"/>
    <w:rsid w:val="000866EC"/>
    <w:rsid w:val="000871EA"/>
    <w:rsid w:val="000878F0"/>
    <w:rsid w:val="000879A2"/>
    <w:rsid w:val="000900A1"/>
    <w:rsid w:val="000904A7"/>
    <w:rsid w:val="00090B79"/>
    <w:rsid w:val="00092343"/>
    <w:rsid w:val="00092419"/>
    <w:rsid w:val="0009252C"/>
    <w:rsid w:val="00092C39"/>
    <w:rsid w:val="00092C59"/>
    <w:rsid w:val="00092F3A"/>
    <w:rsid w:val="00093655"/>
    <w:rsid w:val="00093A63"/>
    <w:rsid w:val="00094139"/>
    <w:rsid w:val="00094FD8"/>
    <w:rsid w:val="00094FDF"/>
    <w:rsid w:val="00095EEB"/>
    <w:rsid w:val="00096767"/>
    <w:rsid w:val="00096770"/>
    <w:rsid w:val="00096805"/>
    <w:rsid w:val="00097075"/>
    <w:rsid w:val="000979C8"/>
    <w:rsid w:val="00097C56"/>
    <w:rsid w:val="00097DBB"/>
    <w:rsid w:val="000A0936"/>
    <w:rsid w:val="000A0C4E"/>
    <w:rsid w:val="000A12C3"/>
    <w:rsid w:val="000A1FB5"/>
    <w:rsid w:val="000A2006"/>
    <w:rsid w:val="000A2735"/>
    <w:rsid w:val="000A2DEE"/>
    <w:rsid w:val="000A361C"/>
    <w:rsid w:val="000A3785"/>
    <w:rsid w:val="000A37B4"/>
    <w:rsid w:val="000A3C36"/>
    <w:rsid w:val="000A3DED"/>
    <w:rsid w:val="000A4B87"/>
    <w:rsid w:val="000A4CEA"/>
    <w:rsid w:val="000A50DC"/>
    <w:rsid w:val="000A5E88"/>
    <w:rsid w:val="000A6D28"/>
    <w:rsid w:val="000A6DBA"/>
    <w:rsid w:val="000A73A3"/>
    <w:rsid w:val="000A7D87"/>
    <w:rsid w:val="000B086A"/>
    <w:rsid w:val="000B1292"/>
    <w:rsid w:val="000B15A4"/>
    <w:rsid w:val="000B1B8A"/>
    <w:rsid w:val="000B1EF2"/>
    <w:rsid w:val="000B2066"/>
    <w:rsid w:val="000B207D"/>
    <w:rsid w:val="000B2A58"/>
    <w:rsid w:val="000B37C0"/>
    <w:rsid w:val="000B4814"/>
    <w:rsid w:val="000B53D7"/>
    <w:rsid w:val="000B644B"/>
    <w:rsid w:val="000B64CA"/>
    <w:rsid w:val="000B73F6"/>
    <w:rsid w:val="000B7415"/>
    <w:rsid w:val="000B74EB"/>
    <w:rsid w:val="000B7C3B"/>
    <w:rsid w:val="000C07C5"/>
    <w:rsid w:val="000C09F8"/>
    <w:rsid w:val="000C0A24"/>
    <w:rsid w:val="000C0F9A"/>
    <w:rsid w:val="000C1141"/>
    <w:rsid w:val="000C11D8"/>
    <w:rsid w:val="000C1C1D"/>
    <w:rsid w:val="000C2025"/>
    <w:rsid w:val="000C2538"/>
    <w:rsid w:val="000C31CF"/>
    <w:rsid w:val="000C3599"/>
    <w:rsid w:val="000C3C2C"/>
    <w:rsid w:val="000C4172"/>
    <w:rsid w:val="000C4425"/>
    <w:rsid w:val="000C48BE"/>
    <w:rsid w:val="000C4AA0"/>
    <w:rsid w:val="000C54B5"/>
    <w:rsid w:val="000C5BD0"/>
    <w:rsid w:val="000C5D65"/>
    <w:rsid w:val="000C64E2"/>
    <w:rsid w:val="000C6757"/>
    <w:rsid w:val="000C6BE6"/>
    <w:rsid w:val="000D04AB"/>
    <w:rsid w:val="000D072C"/>
    <w:rsid w:val="000D088A"/>
    <w:rsid w:val="000D0A87"/>
    <w:rsid w:val="000D111E"/>
    <w:rsid w:val="000D1748"/>
    <w:rsid w:val="000D2140"/>
    <w:rsid w:val="000D229A"/>
    <w:rsid w:val="000D2954"/>
    <w:rsid w:val="000D29AC"/>
    <w:rsid w:val="000D29FE"/>
    <w:rsid w:val="000D2A7B"/>
    <w:rsid w:val="000D2D26"/>
    <w:rsid w:val="000D2E2E"/>
    <w:rsid w:val="000D3106"/>
    <w:rsid w:val="000D3334"/>
    <w:rsid w:val="000D38BB"/>
    <w:rsid w:val="000D3E73"/>
    <w:rsid w:val="000D401D"/>
    <w:rsid w:val="000D48F9"/>
    <w:rsid w:val="000D4DA6"/>
    <w:rsid w:val="000D6767"/>
    <w:rsid w:val="000D6B28"/>
    <w:rsid w:val="000D7130"/>
    <w:rsid w:val="000D7225"/>
    <w:rsid w:val="000E0BA3"/>
    <w:rsid w:val="000E0FAD"/>
    <w:rsid w:val="000E160C"/>
    <w:rsid w:val="000E1ED0"/>
    <w:rsid w:val="000E2070"/>
    <w:rsid w:val="000E321F"/>
    <w:rsid w:val="000E350F"/>
    <w:rsid w:val="000E3685"/>
    <w:rsid w:val="000E3861"/>
    <w:rsid w:val="000E3922"/>
    <w:rsid w:val="000E3998"/>
    <w:rsid w:val="000E3CB5"/>
    <w:rsid w:val="000E3E6F"/>
    <w:rsid w:val="000E3FAA"/>
    <w:rsid w:val="000E3FC3"/>
    <w:rsid w:val="000E515E"/>
    <w:rsid w:val="000E5936"/>
    <w:rsid w:val="000E6910"/>
    <w:rsid w:val="000E6B0B"/>
    <w:rsid w:val="000E7095"/>
    <w:rsid w:val="000E7324"/>
    <w:rsid w:val="000E7332"/>
    <w:rsid w:val="000E782C"/>
    <w:rsid w:val="000F02D4"/>
    <w:rsid w:val="000F031F"/>
    <w:rsid w:val="000F0847"/>
    <w:rsid w:val="000F1325"/>
    <w:rsid w:val="000F1799"/>
    <w:rsid w:val="000F1C71"/>
    <w:rsid w:val="000F27EF"/>
    <w:rsid w:val="000F2CAB"/>
    <w:rsid w:val="000F31C8"/>
    <w:rsid w:val="000F352E"/>
    <w:rsid w:val="000F38A7"/>
    <w:rsid w:val="000F4278"/>
    <w:rsid w:val="000F5325"/>
    <w:rsid w:val="000F5B62"/>
    <w:rsid w:val="000F5E34"/>
    <w:rsid w:val="000F64D5"/>
    <w:rsid w:val="000F69E7"/>
    <w:rsid w:val="000F6C96"/>
    <w:rsid w:val="000F6F22"/>
    <w:rsid w:val="000F6FA9"/>
    <w:rsid w:val="000F763E"/>
    <w:rsid w:val="001011E5"/>
    <w:rsid w:val="001014FB"/>
    <w:rsid w:val="00101917"/>
    <w:rsid w:val="00101965"/>
    <w:rsid w:val="0010208F"/>
    <w:rsid w:val="0010233B"/>
    <w:rsid w:val="00102C3A"/>
    <w:rsid w:val="00102CB5"/>
    <w:rsid w:val="00102F6D"/>
    <w:rsid w:val="00104454"/>
    <w:rsid w:val="001054FA"/>
    <w:rsid w:val="001058AC"/>
    <w:rsid w:val="0010615D"/>
    <w:rsid w:val="0010782E"/>
    <w:rsid w:val="0010799E"/>
    <w:rsid w:val="00110110"/>
    <w:rsid w:val="00110765"/>
    <w:rsid w:val="00111272"/>
    <w:rsid w:val="00111661"/>
    <w:rsid w:val="00111A11"/>
    <w:rsid w:val="00112598"/>
    <w:rsid w:val="0011287F"/>
    <w:rsid w:val="00112A13"/>
    <w:rsid w:val="00112A56"/>
    <w:rsid w:val="00112F4B"/>
    <w:rsid w:val="0011324E"/>
    <w:rsid w:val="00113349"/>
    <w:rsid w:val="0011339A"/>
    <w:rsid w:val="001136AC"/>
    <w:rsid w:val="00113A4D"/>
    <w:rsid w:val="00113BD6"/>
    <w:rsid w:val="00114048"/>
    <w:rsid w:val="00114747"/>
    <w:rsid w:val="001148A1"/>
    <w:rsid w:val="00115471"/>
    <w:rsid w:val="00115539"/>
    <w:rsid w:val="00115817"/>
    <w:rsid w:val="00116CC5"/>
    <w:rsid w:val="001170F6"/>
    <w:rsid w:val="00117346"/>
    <w:rsid w:val="001174DF"/>
    <w:rsid w:val="00117773"/>
    <w:rsid w:val="001177F1"/>
    <w:rsid w:val="00117E84"/>
    <w:rsid w:val="00120949"/>
    <w:rsid w:val="001209C1"/>
    <w:rsid w:val="001209CA"/>
    <w:rsid w:val="00120A34"/>
    <w:rsid w:val="00120ED7"/>
    <w:rsid w:val="00122327"/>
    <w:rsid w:val="00122F4E"/>
    <w:rsid w:val="00123068"/>
    <w:rsid w:val="0012347D"/>
    <w:rsid w:val="00123DB0"/>
    <w:rsid w:val="00124801"/>
    <w:rsid w:val="0012481A"/>
    <w:rsid w:val="00125C53"/>
    <w:rsid w:val="001266D9"/>
    <w:rsid w:val="0012692E"/>
    <w:rsid w:val="0012702F"/>
    <w:rsid w:val="00127511"/>
    <w:rsid w:val="00127B6E"/>
    <w:rsid w:val="00127CF5"/>
    <w:rsid w:val="00130E3F"/>
    <w:rsid w:val="00131585"/>
    <w:rsid w:val="00132F43"/>
    <w:rsid w:val="001336F7"/>
    <w:rsid w:val="00133A73"/>
    <w:rsid w:val="00133ACC"/>
    <w:rsid w:val="001346A8"/>
    <w:rsid w:val="00134766"/>
    <w:rsid w:val="00134A12"/>
    <w:rsid w:val="00134A7B"/>
    <w:rsid w:val="00134DEE"/>
    <w:rsid w:val="00135067"/>
    <w:rsid w:val="001356E3"/>
    <w:rsid w:val="0013594B"/>
    <w:rsid w:val="001362DC"/>
    <w:rsid w:val="00136B8B"/>
    <w:rsid w:val="00136FAC"/>
    <w:rsid w:val="001370CD"/>
    <w:rsid w:val="001401A3"/>
    <w:rsid w:val="001405D6"/>
    <w:rsid w:val="00140740"/>
    <w:rsid w:val="0014119D"/>
    <w:rsid w:val="001412B3"/>
    <w:rsid w:val="001415DE"/>
    <w:rsid w:val="00141786"/>
    <w:rsid w:val="00141CE3"/>
    <w:rsid w:val="00142416"/>
    <w:rsid w:val="00142DBF"/>
    <w:rsid w:val="0014494D"/>
    <w:rsid w:val="00145B48"/>
    <w:rsid w:val="001502F0"/>
    <w:rsid w:val="00150583"/>
    <w:rsid w:val="00150794"/>
    <w:rsid w:val="0015126B"/>
    <w:rsid w:val="00151455"/>
    <w:rsid w:val="00151E7D"/>
    <w:rsid w:val="00152B66"/>
    <w:rsid w:val="0015367E"/>
    <w:rsid w:val="00153B0D"/>
    <w:rsid w:val="001559A6"/>
    <w:rsid w:val="00155C7B"/>
    <w:rsid w:val="00156286"/>
    <w:rsid w:val="001565EA"/>
    <w:rsid w:val="00156FBA"/>
    <w:rsid w:val="00157277"/>
    <w:rsid w:val="00157490"/>
    <w:rsid w:val="00157628"/>
    <w:rsid w:val="001609A6"/>
    <w:rsid w:val="00160D4F"/>
    <w:rsid w:val="00161378"/>
    <w:rsid w:val="001615D7"/>
    <w:rsid w:val="00161BF1"/>
    <w:rsid w:val="00161F92"/>
    <w:rsid w:val="00162F9A"/>
    <w:rsid w:val="00163152"/>
    <w:rsid w:val="00164CBA"/>
    <w:rsid w:val="00165A37"/>
    <w:rsid w:val="00165A5C"/>
    <w:rsid w:val="00166250"/>
    <w:rsid w:val="00166477"/>
    <w:rsid w:val="0016753E"/>
    <w:rsid w:val="0016764C"/>
    <w:rsid w:val="00167748"/>
    <w:rsid w:val="00167E31"/>
    <w:rsid w:val="00170319"/>
    <w:rsid w:val="0017116D"/>
    <w:rsid w:val="00171541"/>
    <w:rsid w:val="00172F22"/>
    <w:rsid w:val="00173B35"/>
    <w:rsid w:val="00174065"/>
    <w:rsid w:val="001743F5"/>
    <w:rsid w:val="00175ACE"/>
    <w:rsid w:val="00175B5A"/>
    <w:rsid w:val="00175C0E"/>
    <w:rsid w:val="00175D6E"/>
    <w:rsid w:val="0017715C"/>
    <w:rsid w:val="0017719B"/>
    <w:rsid w:val="00177548"/>
    <w:rsid w:val="00177C94"/>
    <w:rsid w:val="0018099B"/>
    <w:rsid w:val="0018108C"/>
    <w:rsid w:val="001812F4"/>
    <w:rsid w:val="001816CC"/>
    <w:rsid w:val="0018181D"/>
    <w:rsid w:val="001830BE"/>
    <w:rsid w:val="00183788"/>
    <w:rsid w:val="001837F3"/>
    <w:rsid w:val="00183F32"/>
    <w:rsid w:val="001849FC"/>
    <w:rsid w:val="0018564F"/>
    <w:rsid w:val="0018682D"/>
    <w:rsid w:val="00186BCA"/>
    <w:rsid w:val="00187878"/>
    <w:rsid w:val="001878CF"/>
    <w:rsid w:val="00187A92"/>
    <w:rsid w:val="00187DA7"/>
    <w:rsid w:val="00190484"/>
    <w:rsid w:val="001908EB"/>
    <w:rsid w:val="0019192C"/>
    <w:rsid w:val="00191A50"/>
    <w:rsid w:val="001929C1"/>
    <w:rsid w:val="00192D5E"/>
    <w:rsid w:val="001930F1"/>
    <w:rsid w:val="00193AD7"/>
    <w:rsid w:val="00193ADE"/>
    <w:rsid w:val="00194114"/>
    <w:rsid w:val="00194939"/>
    <w:rsid w:val="00194994"/>
    <w:rsid w:val="00195007"/>
    <w:rsid w:val="00195670"/>
    <w:rsid w:val="00196093"/>
    <w:rsid w:val="001960D3"/>
    <w:rsid w:val="0019652D"/>
    <w:rsid w:val="001967CA"/>
    <w:rsid w:val="00196C1E"/>
    <w:rsid w:val="0019757F"/>
    <w:rsid w:val="001A040E"/>
    <w:rsid w:val="001A06AF"/>
    <w:rsid w:val="001A127F"/>
    <w:rsid w:val="001A18AE"/>
    <w:rsid w:val="001A1B60"/>
    <w:rsid w:val="001A1F66"/>
    <w:rsid w:val="001A220A"/>
    <w:rsid w:val="001A3082"/>
    <w:rsid w:val="001A30F9"/>
    <w:rsid w:val="001A3C89"/>
    <w:rsid w:val="001A3ED6"/>
    <w:rsid w:val="001A4B38"/>
    <w:rsid w:val="001A5EB8"/>
    <w:rsid w:val="001A6CD6"/>
    <w:rsid w:val="001A71D4"/>
    <w:rsid w:val="001A7525"/>
    <w:rsid w:val="001A75BC"/>
    <w:rsid w:val="001A75E8"/>
    <w:rsid w:val="001A77F9"/>
    <w:rsid w:val="001A7832"/>
    <w:rsid w:val="001A79CD"/>
    <w:rsid w:val="001A7ADC"/>
    <w:rsid w:val="001B1480"/>
    <w:rsid w:val="001B14E7"/>
    <w:rsid w:val="001B1623"/>
    <w:rsid w:val="001B183C"/>
    <w:rsid w:val="001B1D7B"/>
    <w:rsid w:val="001B2009"/>
    <w:rsid w:val="001B2688"/>
    <w:rsid w:val="001B26E2"/>
    <w:rsid w:val="001B28A8"/>
    <w:rsid w:val="001B2961"/>
    <w:rsid w:val="001B2D3B"/>
    <w:rsid w:val="001B2EE4"/>
    <w:rsid w:val="001B382E"/>
    <w:rsid w:val="001B468D"/>
    <w:rsid w:val="001B4C3C"/>
    <w:rsid w:val="001B4CE6"/>
    <w:rsid w:val="001B4DC6"/>
    <w:rsid w:val="001B51A9"/>
    <w:rsid w:val="001B578C"/>
    <w:rsid w:val="001B59BF"/>
    <w:rsid w:val="001B5DFD"/>
    <w:rsid w:val="001B6637"/>
    <w:rsid w:val="001B6AA0"/>
    <w:rsid w:val="001B6B80"/>
    <w:rsid w:val="001C0858"/>
    <w:rsid w:val="001C0BA3"/>
    <w:rsid w:val="001C0D59"/>
    <w:rsid w:val="001C0DC6"/>
    <w:rsid w:val="001C1546"/>
    <w:rsid w:val="001C1578"/>
    <w:rsid w:val="001C1881"/>
    <w:rsid w:val="001C20B6"/>
    <w:rsid w:val="001C20EB"/>
    <w:rsid w:val="001C2C76"/>
    <w:rsid w:val="001C2D56"/>
    <w:rsid w:val="001C2D8C"/>
    <w:rsid w:val="001C2F64"/>
    <w:rsid w:val="001C3115"/>
    <w:rsid w:val="001C3C4B"/>
    <w:rsid w:val="001C3EF8"/>
    <w:rsid w:val="001C5120"/>
    <w:rsid w:val="001C524A"/>
    <w:rsid w:val="001C5712"/>
    <w:rsid w:val="001C57FB"/>
    <w:rsid w:val="001C58F8"/>
    <w:rsid w:val="001C59F0"/>
    <w:rsid w:val="001C62D4"/>
    <w:rsid w:val="001C694D"/>
    <w:rsid w:val="001C69AE"/>
    <w:rsid w:val="001C6E99"/>
    <w:rsid w:val="001D0089"/>
    <w:rsid w:val="001D0B07"/>
    <w:rsid w:val="001D0DD3"/>
    <w:rsid w:val="001D1737"/>
    <w:rsid w:val="001D1D47"/>
    <w:rsid w:val="001D2534"/>
    <w:rsid w:val="001D2C2F"/>
    <w:rsid w:val="001D4E51"/>
    <w:rsid w:val="001D52DD"/>
    <w:rsid w:val="001D5A05"/>
    <w:rsid w:val="001D5FC7"/>
    <w:rsid w:val="001D6262"/>
    <w:rsid w:val="001D69BF"/>
    <w:rsid w:val="001D6D6C"/>
    <w:rsid w:val="001D74AD"/>
    <w:rsid w:val="001D75E5"/>
    <w:rsid w:val="001D76AC"/>
    <w:rsid w:val="001D7F12"/>
    <w:rsid w:val="001E0201"/>
    <w:rsid w:val="001E02EA"/>
    <w:rsid w:val="001E092D"/>
    <w:rsid w:val="001E0F00"/>
    <w:rsid w:val="001E14F6"/>
    <w:rsid w:val="001E16A8"/>
    <w:rsid w:val="001E179C"/>
    <w:rsid w:val="001E2637"/>
    <w:rsid w:val="001E2B6C"/>
    <w:rsid w:val="001E2D41"/>
    <w:rsid w:val="001E37E1"/>
    <w:rsid w:val="001E4C91"/>
    <w:rsid w:val="001E4D01"/>
    <w:rsid w:val="001E568E"/>
    <w:rsid w:val="001E5B2C"/>
    <w:rsid w:val="001E6528"/>
    <w:rsid w:val="001E697E"/>
    <w:rsid w:val="001E735A"/>
    <w:rsid w:val="001E7838"/>
    <w:rsid w:val="001E7B37"/>
    <w:rsid w:val="001E7CB2"/>
    <w:rsid w:val="001E7CD8"/>
    <w:rsid w:val="001F098B"/>
    <w:rsid w:val="001F0E0C"/>
    <w:rsid w:val="001F1791"/>
    <w:rsid w:val="001F182F"/>
    <w:rsid w:val="001F20FA"/>
    <w:rsid w:val="001F248C"/>
    <w:rsid w:val="001F2638"/>
    <w:rsid w:val="001F2E8E"/>
    <w:rsid w:val="001F3DB3"/>
    <w:rsid w:val="001F4101"/>
    <w:rsid w:val="001F4C90"/>
    <w:rsid w:val="001F55C0"/>
    <w:rsid w:val="001F5BE0"/>
    <w:rsid w:val="001F6243"/>
    <w:rsid w:val="001F6401"/>
    <w:rsid w:val="001F6444"/>
    <w:rsid w:val="001F6920"/>
    <w:rsid w:val="001F6BB5"/>
    <w:rsid w:val="001F7747"/>
    <w:rsid w:val="00200448"/>
    <w:rsid w:val="0020060C"/>
    <w:rsid w:val="00200BFB"/>
    <w:rsid w:val="00201467"/>
    <w:rsid w:val="00201665"/>
    <w:rsid w:val="0020169B"/>
    <w:rsid w:val="00202162"/>
    <w:rsid w:val="00202614"/>
    <w:rsid w:val="0020283E"/>
    <w:rsid w:val="00203136"/>
    <w:rsid w:val="00203B67"/>
    <w:rsid w:val="00203FDE"/>
    <w:rsid w:val="00204B2F"/>
    <w:rsid w:val="00204F38"/>
    <w:rsid w:val="0020515F"/>
    <w:rsid w:val="0020559A"/>
    <w:rsid w:val="00206265"/>
    <w:rsid w:val="00207513"/>
    <w:rsid w:val="00207993"/>
    <w:rsid w:val="0021097D"/>
    <w:rsid w:val="0021160B"/>
    <w:rsid w:val="00211AE3"/>
    <w:rsid w:val="00212521"/>
    <w:rsid w:val="0021256D"/>
    <w:rsid w:val="00212CBB"/>
    <w:rsid w:val="00212D63"/>
    <w:rsid w:val="0021356B"/>
    <w:rsid w:val="00213DC4"/>
    <w:rsid w:val="00213E9D"/>
    <w:rsid w:val="00214099"/>
    <w:rsid w:val="0021415D"/>
    <w:rsid w:val="002143BF"/>
    <w:rsid w:val="00215009"/>
    <w:rsid w:val="00215036"/>
    <w:rsid w:val="00215D68"/>
    <w:rsid w:val="00215E87"/>
    <w:rsid w:val="00216865"/>
    <w:rsid w:val="00216B2D"/>
    <w:rsid w:val="00216B69"/>
    <w:rsid w:val="00216FE3"/>
    <w:rsid w:val="0021718E"/>
    <w:rsid w:val="002172B8"/>
    <w:rsid w:val="00220849"/>
    <w:rsid w:val="0022112B"/>
    <w:rsid w:val="0022177F"/>
    <w:rsid w:val="00222BF8"/>
    <w:rsid w:val="00222C1F"/>
    <w:rsid w:val="002237B6"/>
    <w:rsid w:val="00223EC7"/>
    <w:rsid w:val="00223F13"/>
    <w:rsid w:val="002246F4"/>
    <w:rsid w:val="002250FB"/>
    <w:rsid w:val="0022537C"/>
    <w:rsid w:val="002260D7"/>
    <w:rsid w:val="00226151"/>
    <w:rsid w:val="002261D7"/>
    <w:rsid w:val="0022635E"/>
    <w:rsid w:val="00226417"/>
    <w:rsid w:val="002264F6"/>
    <w:rsid w:val="002269CE"/>
    <w:rsid w:val="00226A07"/>
    <w:rsid w:val="0023030B"/>
    <w:rsid w:val="0023054B"/>
    <w:rsid w:val="002307BF"/>
    <w:rsid w:val="00231B75"/>
    <w:rsid w:val="00232D98"/>
    <w:rsid w:val="0023387B"/>
    <w:rsid w:val="00233B2D"/>
    <w:rsid w:val="00234A90"/>
    <w:rsid w:val="00234AC9"/>
    <w:rsid w:val="00235153"/>
    <w:rsid w:val="0023622E"/>
    <w:rsid w:val="00236497"/>
    <w:rsid w:val="002366B9"/>
    <w:rsid w:val="002368A3"/>
    <w:rsid w:val="0023793E"/>
    <w:rsid w:val="0024004F"/>
    <w:rsid w:val="0024013D"/>
    <w:rsid w:val="002404BC"/>
    <w:rsid w:val="0024079D"/>
    <w:rsid w:val="00240F93"/>
    <w:rsid w:val="0024111C"/>
    <w:rsid w:val="0024123B"/>
    <w:rsid w:val="002414C7"/>
    <w:rsid w:val="002426DE"/>
    <w:rsid w:val="00242B2B"/>
    <w:rsid w:val="002434F4"/>
    <w:rsid w:val="00244832"/>
    <w:rsid w:val="002449AD"/>
    <w:rsid w:val="002465F0"/>
    <w:rsid w:val="00246901"/>
    <w:rsid w:val="0024704A"/>
    <w:rsid w:val="00247E12"/>
    <w:rsid w:val="00250A8B"/>
    <w:rsid w:val="00251271"/>
    <w:rsid w:val="00251922"/>
    <w:rsid w:val="00252068"/>
    <w:rsid w:val="002520B2"/>
    <w:rsid w:val="00252307"/>
    <w:rsid w:val="00252DE3"/>
    <w:rsid w:val="0025362F"/>
    <w:rsid w:val="0025415A"/>
    <w:rsid w:val="00254609"/>
    <w:rsid w:val="00254919"/>
    <w:rsid w:val="00254E56"/>
    <w:rsid w:val="00254F1F"/>
    <w:rsid w:val="00255583"/>
    <w:rsid w:val="002557EB"/>
    <w:rsid w:val="002558A0"/>
    <w:rsid w:val="0025593F"/>
    <w:rsid w:val="0025671A"/>
    <w:rsid w:val="00256A02"/>
    <w:rsid w:val="00256D18"/>
    <w:rsid w:val="0025701C"/>
    <w:rsid w:val="0025720C"/>
    <w:rsid w:val="002573CF"/>
    <w:rsid w:val="002577B2"/>
    <w:rsid w:val="00257A79"/>
    <w:rsid w:val="00257C61"/>
    <w:rsid w:val="0026071D"/>
    <w:rsid w:val="00260828"/>
    <w:rsid w:val="002609CD"/>
    <w:rsid w:val="0026193B"/>
    <w:rsid w:val="002619A4"/>
    <w:rsid w:val="00261A00"/>
    <w:rsid w:val="0026216B"/>
    <w:rsid w:val="002622F1"/>
    <w:rsid w:val="002629E1"/>
    <w:rsid w:val="00262EA3"/>
    <w:rsid w:val="002640D3"/>
    <w:rsid w:val="00264730"/>
    <w:rsid w:val="00264E66"/>
    <w:rsid w:val="00264E82"/>
    <w:rsid w:val="002658B8"/>
    <w:rsid w:val="00265E5B"/>
    <w:rsid w:val="0026605C"/>
    <w:rsid w:val="002662B8"/>
    <w:rsid w:val="0026666D"/>
    <w:rsid w:val="002667A0"/>
    <w:rsid w:val="002667F6"/>
    <w:rsid w:val="00266D93"/>
    <w:rsid w:val="00266F9B"/>
    <w:rsid w:val="0026754E"/>
    <w:rsid w:val="0026793F"/>
    <w:rsid w:val="00270098"/>
    <w:rsid w:val="00270835"/>
    <w:rsid w:val="002708B4"/>
    <w:rsid w:val="00270CE5"/>
    <w:rsid w:val="00271C0B"/>
    <w:rsid w:val="002723F8"/>
    <w:rsid w:val="002734FB"/>
    <w:rsid w:val="00273BB6"/>
    <w:rsid w:val="00275609"/>
    <w:rsid w:val="00275C21"/>
    <w:rsid w:val="00276213"/>
    <w:rsid w:val="00277640"/>
    <w:rsid w:val="00277768"/>
    <w:rsid w:val="00281323"/>
    <w:rsid w:val="00281B09"/>
    <w:rsid w:val="0028258F"/>
    <w:rsid w:val="002839D1"/>
    <w:rsid w:val="00283F3A"/>
    <w:rsid w:val="002849DB"/>
    <w:rsid w:val="00284ADA"/>
    <w:rsid w:val="00284E2C"/>
    <w:rsid w:val="002850C9"/>
    <w:rsid w:val="00285178"/>
    <w:rsid w:val="00285233"/>
    <w:rsid w:val="00285261"/>
    <w:rsid w:val="002856EB"/>
    <w:rsid w:val="00285E2D"/>
    <w:rsid w:val="00286A3C"/>
    <w:rsid w:val="00286C77"/>
    <w:rsid w:val="00287DB6"/>
    <w:rsid w:val="00290166"/>
    <w:rsid w:val="002904A3"/>
    <w:rsid w:val="00290ED2"/>
    <w:rsid w:val="00290F48"/>
    <w:rsid w:val="0029167E"/>
    <w:rsid w:val="00291877"/>
    <w:rsid w:val="00291C13"/>
    <w:rsid w:val="00291F64"/>
    <w:rsid w:val="00292D3A"/>
    <w:rsid w:val="00294399"/>
    <w:rsid w:val="00294A7A"/>
    <w:rsid w:val="00294FFF"/>
    <w:rsid w:val="0029557A"/>
    <w:rsid w:val="002968AF"/>
    <w:rsid w:val="0029720F"/>
    <w:rsid w:val="002975D6"/>
    <w:rsid w:val="002A0CFE"/>
    <w:rsid w:val="002A1B89"/>
    <w:rsid w:val="002A1DB0"/>
    <w:rsid w:val="002A22D6"/>
    <w:rsid w:val="002A2B49"/>
    <w:rsid w:val="002A3C2A"/>
    <w:rsid w:val="002A3C75"/>
    <w:rsid w:val="002A4094"/>
    <w:rsid w:val="002A46B4"/>
    <w:rsid w:val="002A48D6"/>
    <w:rsid w:val="002A52D6"/>
    <w:rsid w:val="002A5755"/>
    <w:rsid w:val="002A59B9"/>
    <w:rsid w:val="002A5A6B"/>
    <w:rsid w:val="002A5EB6"/>
    <w:rsid w:val="002A5EE6"/>
    <w:rsid w:val="002A65C4"/>
    <w:rsid w:val="002A6BE3"/>
    <w:rsid w:val="002A71C7"/>
    <w:rsid w:val="002A730A"/>
    <w:rsid w:val="002A76E3"/>
    <w:rsid w:val="002A7785"/>
    <w:rsid w:val="002A779F"/>
    <w:rsid w:val="002B0853"/>
    <w:rsid w:val="002B0E05"/>
    <w:rsid w:val="002B1029"/>
    <w:rsid w:val="002B164A"/>
    <w:rsid w:val="002B1915"/>
    <w:rsid w:val="002B26DA"/>
    <w:rsid w:val="002B2853"/>
    <w:rsid w:val="002B2AF0"/>
    <w:rsid w:val="002B2F94"/>
    <w:rsid w:val="002B39FD"/>
    <w:rsid w:val="002B3B3E"/>
    <w:rsid w:val="002B3C03"/>
    <w:rsid w:val="002B3E8B"/>
    <w:rsid w:val="002B4525"/>
    <w:rsid w:val="002B4A2B"/>
    <w:rsid w:val="002B6176"/>
    <w:rsid w:val="002B6D55"/>
    <w:rsid w:val="002B6E03"/>
    <w:rsid w:val="002B75F8"/>
    <w:rsid w:val="002B7C6A"/>
    <w:rsid w:val="002B7C9B"/>
    <w:rsid w:val="002C0178"/>
    <w:rsid w:val="002C0AB2"/>
    <w:rsid w:val="002C0C00"/>
    <w:rsid w:val="002C0D87"/>
    <w:rsid w:val="002C0F7F"/>
    <w:rsid w:val="002C1311"/>
    <w:rsid w:val="002C1B3D"/>
    <w:rsid w:val="002C1EE8"/>
    <w:rsid w:val="002C2D59"/>
    <w:rsid w:val="002C4737"/>
    <w:rsid w:val="002C4820"/>
    <w:rsid w:val="002C56DB"/>
    <w:rsid w:val="002C5B8B"/>
    <w:rsid w:val="002C5C4A"/>
    <w:rsid w:val="002C6CB6"/>
    <w:rsid w:val="002C6DF3"/>
    <w:rsid w:val="002C756E"/>
    <w:rsid w:val="002D0691"/>
    <w:rsid w:val="002D08DE"/>
    <w:rsid w:val="002D097F"/>
    <w:rsid w:val="002D0F60"/>
    <w:rsid w:val="002D1036"/>
    <w:rsid w:val="002D1E5D"/>
    <w:rsid w:val="002D1F08"/>
    <w:rsid w:val="002D1F45"/>
    <w:rsid w:val="002D227E"/>
    <w:rsid w:val="002D2B2D"/>
    <w:rsid w:val="002D2C9F"/>
    <w:rsid w:val="002D2D13"/>
    <w:rsid w:val="002D3321"/>
    <w:rsid w:val="002D4623"/>
    <w:rsid w:val="002D4762"/>
    <w:rsid w:val="002D486C"/>
    <w:rsid w:val="002D4B0D"/>
    <w:rsid w:val="002D5297"/>
    <w:rsid w:val="002D56E1"/>
    <w:rsid w:val="002D5D18"/>
    <w:rsid w:val="002D6980"/>
    <w:rsid w:val="002D7004"/>
    <w:rsid w:val="002D70BC"/>
    <w:rsid w:val="002D7167"/>
    <w:rsid w:val="002E07C7"/>
    <w:rsid w:val="002E141B"/>
    <w:rsid w:val="002E1B94"/>
    <w:rsid w:val="002E2195"/>
    <w:rsid w:val="002E271A"/>
    <w:rsid w:val="002E29E7"/>
    <w:rsid w:val="002E3D81"/>
    <w:rsid w:val="002E4F32"/>
    <w:rsid w:val="002E5FCF"/>
    <w:rsid w:val="002E69D6"/>
    <w:rsid w:val="002E6B73"/>
    <w:rsid w:val="002E731D"/>
    <w:rsid w:val="002E7808"/>
    <w:rsid w:val="002E7ACD"/>
    <w:rsid w:val="002E7E95"/>
    <w:rsid w:val="002F01F9"/>
    <w:rsid w:val="002F0230"/>
    <w:rsid w:val="002F0755"/>
    <w:rsid w:val="002F0D59"/>
    <w:rsid w:val="002F0DE0"/>
    <w:rsid w:val="002F1B7B"/>
    <w:rsid w:val="002F25BC"/>
    <w:rsid w:val="002F2E38"/>
    <w:rsid w:val="002F2E7B"/>
    <w:rsid w:val="002F3C7F"/>
    <w:rsid w:val="002F3DAB"/>
    <w:rsid w:val="002F3FA9"/>
    <w:rsid w:val="002F4386"/>
    <w:rsid w:val="002F453E"/>
    <w:rsid w:val="002F4946"/>
    <w:rsid w:val="002F4B1A"/>
    <w:rsid w:val="002F5970"/>
    <w:rsid w:val="002F5B09"/>
    <w:rsid w:val="002F61DE"/>
    <w:rsid w:val="002F6822"/>
    <w:rsid w:val="002F6EBD"/>
    <w:rsid w:val="002F7159"/>
    <w:rsid w:val="002F723D"/>
    <w:rsid w:val="002F7C4D"/>
    <w:rsid w:val="002F7C5D"/>
    <w:rsid w:val="002F7C8C"/>
    <w:rsid w:val="002F7F3B"/>
    <w:rsid w:val="002F7FC3"/>
    <w:rsid w:val="00300459"/>
    <w:rsid w:val="003004F8"/>
    <w:rsid w:val="00300880"/>
    <w:rsid w:val="00300933"/>
    <w:rsid w:val="00300B17"/>
    <w:rsid w:val="00300B25"/>
    <w:rsid w:val="00300BE1"/>
    <w:rsid w:val="00301A69"/>
    <w:rsid w:val="00301AFE"/>
    <w:rsid w:val="00301C1E"/>
    <w:rsid w:val="00302429"/>
    <w:rsid w:val="003036B5"/>
    <w:rsid w:val="00303AD4"/>
    <w:rsid w:val="003047CA"/>
    <w:rsid w:val="003047D4"/>
    <w:rsid w:val="00304D6E"/>
    <w:rsid w:val="003059EA"/>
    <w:rsid w:val="00305BF3"/>
    <w:rsid w:val="003076BD"/>
    <w:rsid w:val="0030788B"/>
    <w:rsid w:val="00307B4D"/>
    <w:rsid w:val="00310C6D"/>
    <w:rsid w:val="003112ED"/>
    <w:rsid w:val="003115CE"/>
    <w:rsid w:val="00311803"/>
    <w:rsid w:val="00311A4A"/>
    <w:rsid w:val="00311AE8"/>
    <w:rsid w:val="00311EB9"/>
    <w:rsid w:val="00312830"/>
    <w:rsid w:val="00313453"/>
    <w:rsid w:val="0031499F"/>
    <w:rsid w:val="00314BD8"/>
    <w:rsid w:val="00314DA8"/>
    <w:rsid w:val="00315619"/>
    <w:rsid w:val="00315723"/>
    <w:rsid w:val="00316469"/>
    <w:rsid w:val="003164FD"/>
    <w:rsid w:val="00316661"/>
    <w:rsid w:val="003168D6"/>
    <w:rsid w:val="00316EAA"/>
    <w:rsid w:val="00316EFC"/>
    <w:rsid w:val="0031733D"/>
    <w:rsid w:val="00317342"/>
    <w:rsid w:val="00317F7F"/>
    <w:rsid w:val="00321B3B"/>
    <w:rsid w:val="00321BA1"/>
    <w:rsid w:val="00322183"/>
    <w:rsid w:val="00322A9A"/>
    <w:rsid w:val="00322C7B"/>
    <w:rsid w:val="003236C4"/>
    <w:rsid w:val="00324282"/>
    <w:rsid w:val="00324324"/>
    <w:rsid w:val="003250B7"/>
    <w:rsid w:val="00325B57"/>
    <w:rsid w:val="00325C09"/>
    <w:rsid w:val="00325FC1"/>
    <w:rsid w:val="003264B8"/>
    <w:rsid w:val="003264DA"/>
    <w:rsid w:val="00326B51"/>
    <w:rsid w:val="00326C40"/>
    <w:rsid w:val="00327286"/>
    <w:rsid w:val="00327769"/>
    <w:rsid w:val="00327DC3"/>
    <w:rsid w:val="00330EEE"/>
    <w:rsid w:val="00330F68"/>
    <w:rsid w:val="003312A7"/>
    <w:rsid w:val="00331C94"/>
    <w:rsid w:val="00331CA9"/>
    <w:rsid w:val="0033244E"/>
    <w:rsid w:val="00332B82"/>
    <w:rsid w:val="00332ED6"/>
    <w:rsid w:val="003337B2"/>
    <w:rsid w:val="00333C97"/>
    <w:rsid w:val="0033405E"/>
    <w:rsid w:val="0033488D"/>
    <w:rsid w:val="00334CFC"/>
    <w:rsid w:val="003351B7"/>
    <w:rsid w:val="00335356"/>
    <w:rsid w:val="00336B6F"/>
    <w:rsid w:val="00336E81"/>
    <w:rsid w:val="00337DD8"/>
    <w:rsid w:val="00340239"/>
    <w:rsid w:val="00340543"/>
    <w:rsid w:val="0034073E"/>
    <w:rsid w:val="00340832"/>
    <w:rsid w:val="003408F2"/>
    <w:rsid w:val="00341464"/>
    <w:rsid w:val="003431E8"/>
    <w:rsid w:val="003432F0"/>
    <w:rsid w:val="003434A1"/>
    <w:rsid w:val="0034379D"/>
    <w:rsid w:val="0034470F"/>
    <w:rsid w:val="0034535A"/>
    <w:rsid w:val="0034613D"/>
    <w:rsid w:val="00346C3C"/>
    <w:rsid w:val="0034753F"/>
    <w:rsid w:val="00347C38"/>
    <w:rsid w:val="00347F11"/>
    <w:rsid w:val="00350006"/>
    <w:rsid w:val="00350BAF"/>
    <w:rsid w:val="0035124C"/>
    <w:rsid w:val="0035196D"/>
    <w:rsid w:val="00351EE7"/>
    <w:rsid w:val="00353FA5"/>
    <w:rsid w:val="0035436A"/>
    <w:rsid w:val="00354448"/>
    <w:rsid w:val="00354BF4"/>
    <w:rsid w:val="00354D01"/>
    <w:rsid w:val="00354D93"/>
    <w:rsid w:val="0035505B"/>
    <w:rsid w:val="003554CD"/>
    <w:rsid w:val="0035606C"/>
    <w:rsid w:val="00356D07"/>
    <w:rsid w:val="0035704B"/>
    <w:rsid w:val="003578D4"/>
    <w:rsid w:val="00360B6D"/>
    <w:rsid w:val="00360E97"/>
    <w:rsid w:val="00361061"/>
    <w:rsid w:val="0036188C"/>
    <w:rsid w:val="00361922"/>
    <w:rsid w:val="00361AC8"/>
    <w:rsid w:val="00361F88"/>
    <w:rsid w:val="003628DE"/>
    <w:rsid w:val="00362BCA"/>
    <w:rsid w:val="00363137"/>
    <w:rsid w:val="003634E2"/>
    <w:rsid w:val="0036354F"/>
    <w:rsid w:val="00364128"/>
    <w:rsid w:val="00364147"/>
    <w:rsid w:val="003651AB"/>
    <w:rsid w:val="003658FE"/>
    <w:rsid w:val="00365C42"/>
    <w:rsid w:val="003666D3"/>
    <w:rsid w:val="00366949"/>
    <w:rsid w:val="00366985"/>
    <w:rsid w:val="0036725E"/>
    <w:rsid w:val="00367A20"/>
    <w:rsid w:val="00367EDE"/>
    <w:rsid w:val="00367FED"/>
    <w:rsid w:val="003715AF"/>
    <w:rsid w:val="00373035"/>
    <w:rsid w:val="00373E6F"/>
    <w:rsid w:val="00373F21"/>
    <w:rsid w:val="003742AF"/>
    <w:rsid w:val="00374410"/>
    <w:rsid w:val="003746C3"/>
    <w:rsid w:val="00374F06"/>
    <w:rsid w:val="00376182"/>
    <w:rsid w:val="003761D4"/>
    <w:rsid w:val="00376FAF"/>
    <w:rsid w:val="00377921"/>
    <w:rsid w:val="00380554"/>
    <w:rsid w:val="003806FA"/>
    <w:rsid w:val="0038099B"/>
    <w:rsid w:val="00380AAE"/>
    <w:rsid w:val="0038110D"/>
    <w:rsid w:val="0038116D"/>
    <w:rsid w:val="0038141E"/>
    <w:rsid w:val="00381542"/>
    <w:rsid w:val="00381B50"/>
    <w:rsid w:val="00381D42"/>
    <w:rsid w:val="00381E27"/>
    <w:rsid w:val="003821C8"/>
    <w:rsid w:val="003829B9"/>
    <w:rsid w:val="0038322B"/>
    <w:rsid w:val="00383BA7"/>
    <w:rsid w:val="00383D99"/>
    <w:rsid w:val="00384775"/>
    <w:rsid w:val="0038484E"/>
    <w:rsid w:val="00385022"/>
    <w:rsid w:val="0038563A"/>
    <w:rsid w:val="00385E22"/>
    <w:rsid w:val="0039039E"/>
    <w:rsid w:val="0039054F"/>
    <w:rsid w:val="00390BA2"/>
    <w:rsid w:val="00390F4D"/>
    <w:rsid w:val="00391675"/>
    <w:rsid w:val="00391751"/>
    <w:rsid w:val="003918EE"/>
    <w:rsid w:val="00392717"/>
    <w:rsid w:val="003928C1"/>
    <w:rsid w:val="003933E4"/>
    <w:rsid w:val="003936C4"/>
    <w:rsid w:val="0039406E"/>
    <w:rsid w:val="00395A4B"/>
    <w:rsid w:val="00395FEA"/>
    <w:rsid w:val="00396B06"/>
    <w:rsid w:val="003978AB"/>
    <w:rsid w:val="003A01DF"/>
    <w:rsid w:val="003A21DE"/>
    <w:rsid w:val="003A2335"/>
    <w:rsid w:val="003A3232"/>
    <w:rsid w:val="003A396B"/>
    <w:rsid w:val="003A3A4E"/>
    <w:rsid w:val="003A3E49"/>
    <w:rsid w:val="003A5979"/>
    <w:rsid w:val="003A6D57"/>
    <w:rsid w:val="003A73D5"/>
    <w:rsid w:val="003B0472"/>
    <w:rsid w:val="003B06D6"/>
    <w:rsid w:val="003B07D2"/>
    <w:rsid w:val="003B1211"/>
    <w:rsid w:val="003B1E9F"/>
    <w:rsid w:val="003B3657"/>
    <w:rsid w:val="003B37D5"/>
    <w:rsid w:val="003B37F0"/>
    <w:rsid w:val="003B4748"/>
    <w:rsid w:val="003B4BC5"/>
    <w:rsid w:val="003B5A29"/>
    <w:rsid w:val="003B61C0"/>
    <w:rsid w:val="003B74B5"/>
    <w:rsid w:val="003B77B1"/>
    <w:rsid w:val="003B797B"/>
    <w:rsid w:val="003C12BF"/>
    <w:rsid w:val="003C12E4"/>
    <w:rsid w:val="003C17B3"/>
    <w:rsid w:val="003C261C"/>
    <w:rsid w:val="003C2964"/>
    <w:rsid w:val="003C2980"/>
    <w:rsid w:val="003C2D78"/>
    <w:rsid w:val="003C2F2F"/>
    <w:rsid w:val="003C2FD6"/>
    <w:rsid w:val="003C3777"/>
    <w:rsid w:val="003C3899"/>
    <w:rsid w:val="003C3B18"/>
    <w:rsid w:val="003C447A"/>
    <w:rsid w:val="003C4B12"/>
    <w:rsid w:val="003C4E94"/>
    <w:rsid w:val="003C5949"/>
    <w:rsid w:val="003C6658"/>
    <w:rsid w:val="003C66AF"/>
    <w:rsid w:val="003C68FA"/>
    <w:rsid w:val="003C6DA0"/>
    <w:rsid w:val="003C798C"/>
    <w:rsid w:val="003C79E8"/>
    <w:rsid w:val="003D042F"/>
    <w:rsid w:val="003D0464"/>
    <w:rsid w:val="003D0890"/>
    <w:rsid w:val="003D1376"/>
    <w:rsid w:val="003D165F"/>
    <w:rsid w:val="003D2B60"/>
    <w:rsid w:val="003D36E0"/>
    <w:rsid w:val="003D4141"/>
    <w:rsid w:val="003D48D8"/>
    <w:rsid w:val="003D4B4E"/>
    <w:rsid w:val="003D4ECD"/>
    <w:rsid w:val="003D54C1"/>
    <w:rsid w:val="003D630D"/>
    <w:rsid w:val="003D65F4"/>
    <w:rsid w:val="003D7524"/>
    <w:rsid w:val="003D7D26"/>
    <w:rsid w:val="003E0336"/>
    <w:rsid w:val="003E09E3"/>
    <w:rsid w:val="003E0B3D"/>
    <w:rsid w:val="003E0E67"/>
    <w:rsid w:val="003E1A75"/>
    <w:rsid w:val="003E2B2B"/>
    <w:rsid w:val="003E2C2D"/>
    <w:rsid w:val="003E2C86"/>
    <w:rsid w:val="003E3935"/>
    <w:rsid w:val="003E3A21"/>
    <w:rsid w:val="003E3CBC"/>
    <w:rsid w:val="003E45FC"/>
    <w:rsid w:val="003E48AC"/>
    <w:rsid w:val="003E48EE"/>
    <w:rsid w:val="003E4E48"/>
    <w:rsid w:val="003E505F"/>
    <w:rsid w:val="003E51FE"/>
    <w:rsid w:val="003E5DD0"/>
    <w:rsid w:val="003E6A35"/>
    <w:rsid w:val="003E726A"/>
    <w:rsid w:val="003E7403"/>
    <w:rsid w:val="003E7CE5"/>
    <w:rsid w:val="003F0284"/>
    <w:rsid w:val="003F03F5"/>
    <w:rsid w:val="003F0687"/>
    <w:rsid w:val="003F0AA6"/>
    <w:rsid w:val="003F0E95"/>
    <w:rsid w:val="003F113C"/>
    <w:rsid w:val="003F24B9"/>
    <w:rsid w:val="003F283A"/>
    <w:rsid w:val="003F3631"/>
    <w:rsid w:val="003F3EFD"/>
    <w:rsid w:val="003F4068"/>
    <w:rsid w:val="003F4C2D"/>
    <w:rsid w:val="003F52AD"/>
    <w:rsid w:val="003F562F"/>
    <w:rsid w:val="003F7583"/>
    <w:rsid w:val="003F76D8"/>
    <w:rsid w:val="003F7775"/>
    <w:rsid w:val="003F7C2C"/>
    <w:rsid w:val="003F7D93"/>
    <w:rsid w:val="003F7EAC"/>
    <w:rsid w:val="004013A4"/>
    <w:rsid w:val="004017ED"/>
    <w:rsid w:val="00401F72"/>
    <w:rsid w:val="00402280"/>
    <w:rsid w:val="004024C7"/>
    <w:rsid w:val="00402545"/>
    <w:rsid w:val="004026D8"/>
    <w:rsid w:val="00403146"/>
    <w:rsid w:val="004035AF"/>
    <w:rsid w:val="00403E00"/>
    <w:rsid w:val="0040422E"/>
    <w:rsid w:val="004048F2"/>
    <w:rsid w:val="00404999"/>
    <w:rsid w:val="00404B86"/>
    <w:rsid w:val="00405665"/>
    <w:rsid w:val="00405FE9"/>
    <w:rsid w:val="00406328"/>
    <w:rsid w:val="004078DF"/>
    <w:rsid w:val="004110AD"/>
    <w:rsid w:val="004114DD"/>
    <w:rsid w:val="00412BC7"/>
    <w:rsid w:val="00414112"/>
    <w:rsid w:val="0041429B"/>
    <w:rsid w:val="00414361"/>
    <w:rsid w:val="00415306"/>
    <w:rsid w:val="004155D7"/>
    <w:rsid w:val="00415BE5"/>
    <w:rsid w:val="00416636"/>
    <w:rsid w:val="00417C19"/>
    <w:rsid w:val="00417DFE"/>
    <w:rsid w:val="00420607"/>
    <w:rsid w:val="004206FE"/>
    <w:rsid w:val="0042083B"/>
    <w:rsid w:val="00420C63"/>
    <w:rsid w:val="00421469"/>
    <w:rsid w:val="00422191"/>
    <w:rsid w:val="00422E5C"/>
    <w:rsid w:val="004238F2"/>
    <w:rsid w:val="00424BB5"/>
    <w:rsid w:val="00425780"/>
    <w:rsid w:val="00425A90"/>
    <w:rsid w:val="00425E7A"/>
    <w:rsid w:val="0042603D"/>
    <w:rsid w:val="00426138"/>
    <w:rsid w:val="004262E6"/>
    <w:rsid w:val="00426E0C"/>
    <w:rsid w:val="00427861"/>
    <w:rsid w:val="00427DA6"/>
    <w:rsid w:val="00427E77"/>
    <w:rsid w:val="0043103A"/>
    <w:rsid w:val="0043115B"/>
    <w:rsid w:val="0043130F"/>
    <w:rsid w:val="00431A04"/>
    <w:rsid w:val="00431F1C"/>
    <w:rsid w:val="00432041"/>
    <w:rsid w:val="004321C5"/>
    <w:rsid w:val="004324DF"/>
    <w:rsid w:val="004324F1"/>
    <w:rsid w:val="004327EB"/>
    <w:rsid w:val="004333ED"/>
    <w:rsid w:val="00433991"/>
    <w:rsid w:val="00433FD7"/>
    <w:rsid w:val="00434AAA"/>
    <w:rsid w:val="00434D40"/>
    <w:rsid w:val="0043516A"/>
    <w:rsid w:val="004357A5"/>
    <w:rsid w:val="004402E7"/>
    <w:rsid w:val="004407E8"/>
    <w:rsid w:val="00440802"/>
    <w:rsid w:val="004408A5"/>
    <w:rsid w:val="00441188"/>
    <w:rsid w:val="0044128E"/>
    <w:rsid w:val="004414FD"/>
    <w:rsid w:val="0044254E"/>
    <w:rsid w:val="004425FA"/>
    <w:rsid w:val="00442724"/>
    <w:rsid w:val="00443412"/>
    <w:rsid w:val="00443446"/>
    <w:rsid w:val="004437CB"/>
    <w:rsid w:val="00444133"/>
    <w:rsid w:val="00444369"/>
    <w:rsid w:val="00444DB4"/>
    <w:rsid w:val="00445DE8"/>
    <w:rsid w:val="00446216"/>
    <w:rsid w:val="004464BD"/>
    <w:rsid w:val="004477C3"/>
    <w:rsid w:val="0045029C"/>
    <w:rsid w:val="004503C7"/>
    <w:rsid w:val="00450784"/>
    <w:rsid w:val="004507E5"/>
    <w:rsid w:val="00450CBC"/>
    <w:rsid w:val="00451367"/>
    <w:rsid w:val="00451F5A"/>
    <w:rsid w:val="00453E62"/>
    <w:rsid w:val="00453E92"/>
    <w:rsid w:val="00453ED1"/>
    <w:rsid w:val="004541FD"/>
    <w:rsid w:val="00454971"/>
    <w:rsid w:val="00454B6E"/>
    <w:rsid w:val="00454D1E"/>
    <w:rsid w:val="004555C8"/>
    <w:rsid w:val="00455DA7"/>
    <w:rsid w:val="0045657F"/>
    <w:rsid w:val="00456B60"/>
    <w:rsid w:val="00456DB3"/>
    <w:rsid w:val="00460119"/>
    <w:rsid w:val="004603A0"/>
    <w:rsid w:val="00461010"/>
    <w:rsid w:val="004620E3"/>
    <w:rsid w:val="004624E1"/>
    <w:rsid w:val="00462950"/>
    <w:rsid w:val="00462D96"/>
    <w:rsid w:val="0046350F"/>
    <w:rsid w:val="0046363E"/>
    <w:rsid w:val="00463C5F"/>
    <w:rsid w:val="0046490E"/>
    <w:rsid w:val="00464FE8"/>
    <w:rsid w:val="00466C06"/>
    <w:rsid w:val="004674FC"/>
    <w:rsid w:val="00470389"/>
    <w:rsid w:val="00471B3F"/>
    <w:rsid w:val="00471C5A"/>
    <w:rsid w:val="004723C7"/>
    <w:rsid w:val="0047320C"/>
    <w:rsid w:val="004732A1"/>
    <w:rsid w:val="00473331"/>
    <w:rsid w:val="004735B6"/>
    <w:rsid w:val="00473A91"/>
    <w:rsid w:val="004742E0"/>
    <w:rsid w:val="004745C0"/>
    <w:rsid w:val="00474746"/>
    <w:rsid w:val="00474ADA"/>
    <w:rsid w:val="0047521A"/>
    <w:rsid w:val="0047579F"/>
    <w:rsid w:val="00475F81"/>
    <w:rsid w:val="004761CD"/>
    <w:rsid w:val="00476675"/>
    <w:rsid w:val="00476B9C"/>
    <w:rsid w:val="00477D7E"/>
    <w:rsid w:val="0048024B"/>
    <w:rsid w:val="00480CC2"/>
    <w:rsid w:val="00480F47"/>
    <w:rsid w:val="00481210"/>
    <w:rsid w:val="00481406"/>
    <w:rsid w:val="0048155D"/>
    <w:rsid w:val="00481DA4"/>
    <w:rsid w:val="0048297D"/>
    <w:rsid w:val="00482BC8"/>
    <w:rsid w:val="00483113"/>
    <w:rsid w:val="004838E2"/>
    <w:rsid w:val="00483E90"/>
    <w:rsid w:val="00484051"/>
    <w:rsid w:val="004844D0"/>
    <w:rsid w:val="00484BD3"/>
    <w:rsid w:val="00484E8E"/>
    <w:rsid w:val="00485132"/>
    <w:rsid w:val="00485492"/>
    <w:rsid w:val="004859E6"/>
    <w:rsid w:val="00485A26"/>
    <w:rsid w:val="004868D8"/>
    <w:rsid w:val="00486AED"/>
    <w:rsid w:val="0048706C"/>
    <w:rsid w:val="00487272"/>
    <w:rsid w:val="004879CD"/>
    <w:rsid w:val="00487B2E"/>
    <w:rsid w:val="00490132"/>
    <w:rsid w:val="00490C54"/>
    <w:rsid w:val="00490D13"/>
    <w:rsid w:val="00492480"/>
    <w:rsid w:val="004926B5"/>
    <w:rsid w:val="00492A94"/>
    <w:rsid w:val="00492C89"/>
    <w:rsid w:val="004933DC"/>
    <w:rsid w:val="004935C4"/>
    <w:rsid w:val="00495080"/>
    <w:rsid w:val="0049619D"/>
    <w:rsid w:val="0049645C"/>
    <w:rsid w:val="00496878"/>
    <w:rsid w:val="00496C86"/>
    <w:rsid w:val="00497113"/>
    <w:rsid w:val="004A0388"/>
    <w:rsid w:val="004A03A0"/>
    <w:rsid w:val="004A0414"/>
    <w:rsid w:val="004A0998"/>
    <w:rsid w:val="004A09E4"/>
    <w:rsid w:val="004A0E6D"/>
    <w:rsid w:val="004A10E1"/>
    <w:rsid w:val="004A14FE"/>
    <w:rsid w:val="004A1710"/>
    <w:rsid w:val="004A17A9"/>
    <w:rsid w:val="004A20AB"/>
    <w:rsid w:val="004A20B1"/>
    <w:rsid w:val="004A221A"/>
    <w:rsid w:val="004A24B3"/>
    <w:rsid w:val="004A2703"/>
    <w:rsid w:val="004A32E6"/>
    <w:rsid w:val="004A3E99"/>
    <w:rsid w:val="004A3F28"/>
    <w:rsid w:val="004A405A"/>
    <w:rsid w:val="004A589F"/>
    <w:rsid w:val="004A5D9A"/>
    <w:rsid w:val="004A5F86"/>
    <w:rsid w:val="004A63AC"/>
    <w:rsid w:val="004A70E6"/>
    <w:rsid w:val="004B0063"/>
    <w:rsid w:val="004B131F"/>
    <w:rsid w:val="004B21EC"/>
    <w:rsid w:val="004B2741"/>
    <w:rsid w:val="004B27AC"/>
    <w:rsid w:val="004B2A6F"/>
    <w:rsid w:val="004B2B7F"/>
    <w:rsid w:val="004B2FFD"/>
    <w:rsid w:val="004B460A"/>
    <w:rsid w:val="004B4A8B"/>
    <w:rsid w:val="004B4BC3"/>
    <w:rsid w:val="004B5C90"/>
    <w:rsid w:val="004B5EAA"/>
    <w:rsid w:val="004B652B"/>
    <w:rsid w:val="004B6958"/>
    <w:rsid w:val="004B706D"/>
    <w:rsid w:val="004B7473"/>
    <w:rsid w:val="004B7C58"/>
    <w:rsid w:val="004C0BEF"/>
    <w:rsid w:val="004C163C"/>
    <w:rsid w:val="004C1FE4"/>
    <w:rsid w:val="004C237B"/>
    <w:rsid w:val="004C33DB"/>
    <w:rsid w:val="004C37A0"/>
    <w:rsid w:val="004C39AF"/>
    <w:rsid w:val="004C40BE"/>
    <w:rsid w:val="004C421E"/>
    <w:rsid w:val="004C44DA"/>
    <w:rsid w:val="004C470B"/>
    <w:rsid w:val="004C575A"/>
    <w:rsid w:val="004C5C1E"/>
    <w:rsid w:val="004C655A"/>
    <w:rsid w:val="004C7259"/>
    <w:rsid w:val="004C7734"/>
    <w:rsid w:val="004C7A21"/>
    <w:rsid w:val="004C7A4E"/>
    <w:rsid w:val="004C7F23"/>
    <w:rsid w:val="004D0791"/>
    <w:rsid w:val="004D1099"/>
    <w:rsid w:val="004D1D8C"/>
    <w:rsid w:val="004D1E11"/>
    <w:rsid w:val="004D20D6"/>
    <w:rsid w:val="004D235D"/>
    <w:rsid w:val="004D2500"/>
    <w:rsid w:val="004D2C65"/>
    <w:rsid w:val="004D3BE2"/>
    <w:rsid w:val="004D3CD1"/>
    <w:rsid w:val="004D4BB9"/>
    <w:rsid w:val="004D560C"/>
    <w:rsid w:val="004D5676"/>
    <w:rsid w:val="004D5796"/>
    <w:rsid w:val="004D5835"/>
    <w:rsid w:val="004D5B35"/>
    <w:rsid w:val="004D5C18"/>
    <w:rsid w:val="004D6D9D"/>
    <w:rsid w:val="004D7C08"/>
    <w:rsid w:val="004D7C7C"/>
    <w:rsid w:val="004E01BC"/>
    <w:rsid w:val="004E0983"/>
    <w:rsid w:val="004E14B8"/>
    <w:rsid w:val="004E1E0B"/>
    <w:rsid w:val="004E1F87"/>
    <w:rsid w:val="004E21D3"/>
    <w:rsid w:val="004E2841"/>
    <w:rsid w:val="004E2E92"/>
    <w:rsid w:val="004E2EF5"/>
    <w:rsid w:val="004E3C7D"/>
    <w:rsid w:val="004E3CC2"/>
    <w:rsid w:val="004E456A"/>
    <w:rsid w:val="004E4747"/>
    <w:rsid w:val="004E477B"/>
    <w:rsid w:val="004E4A7D"/>
    <w:rsid w:val="004E4CB6"/>
    <w:rsid w:val="004E52E1"/>
    <w:rsid w:val="004E56A1"/>
    <w:rsid w:val="004E6996"/>
    <w:rsid w:val="004E7581"/>
    <w:rsid w:val="004E7687"/>
    <w:rsid w:val="004E775D"/>
    <w:rsid w:val="004F0850"/>
    <w:rsid w:val="004F0C58"/>
    <w:rsid w:val="004F1049"/>
    <w:rsid w:val="004F20CB"/>
    <w:rsid w:val="004F2487"/>
    <w:rsid w:val="004F3762"/>
    <w:rsid w:val="004F484F"/>
    <w:rsid w:val="004F52AA"/>
    <w:rsid w:val="004F531A"/>
    <w:rsid w:val="004F5A0E"/>
    <w:rsid w:val="004F64F4"/>
    <w:rsid w:val="004F76E0"/>
    <w:rsid w:val="0050001C"/>
    <w:rsid w:val="005008A3"/>
    <w:rsid w:val="00500D65"/>
    <w:rsid w:val="00500FB2"/>
    <w:rsid w:val="0050107D"/>
    <w:rsid w:val="005013B8"/>
    <w:rsid w:val="005014D7"/>
    <w:rsid w:val="00501DA9"/>
    <w:rsid w:val="0050212E"/>
    <w:rsid w:val="00502AEF"/>
    <w:rsid w:val="00502B3B"/>
    <w:rsid w:val="00502EE4"/>
    <w:rsid w:val="0050362C"/>
    <w:rsid w:val="00504516"/>
    <w:rsid w:val="00504C5C"/>
    <w:rsid w:val="0050541F"/>
    <w:rsid w:val="00505997"/>
    <w:rsid w:val="00505F8E"/>
    <w:rsid w:val="00506493"/>
    <w:rsid w:val="00506F90"/>
    <w:rsid w:val="005073CF"/>
    <w:rsid w:val="00507DC9"/>
    <w:rsid w:val="005106CD"/>
    <w:rsid w:val="00510B8F"/>
    <w:rsid w:val="005117AC"/>
    <w:rsid w:val="00511E33"/>
    <w:rsid w:val="0051229D"/>
    <w:rsid w:val="00512610"/>
    <w:rsid w:val="00512AED"/>
    <w:rsid w:val="00513169"/>
    <w:rsid w:val="00513327"/>
    <w:rsid w:val="00513D1A"/>
    <w:rsid w:val="00514B81"/>
    <w:rsid w:val="0051563E"/>
    <w:rsid w:val="00515F90"/>
    <w:rsid w:val="00515FAC"/>
    <w:rsid w:val="00516223"/>
    <w:rsid w:val="00516566"/>
    <w:rsid w:val="005166E2"/>
    <w:rsid w:val="00516718"/>
    <w:rsid w:val="00516D23"/>
    <w:rsid w:val="00517C63"/>
    <w:rsid w:val="00520EF5"/>
    <w:rsid w:val="00520F44"/>
    <w:rsid w:val="005210D9"/>
    <w:rsid w:val="00521280"/>
    <w:rsid w:val="00521601"/>
    <w:rsid w:val="00521AEE"/>
    <w:rsid w:val="005228C0"/>
    <w:rsid w:val="00522A4E"/>
    <w:rsid w:val="00522D67"/>
    <w:rsid w:val="00524C51"/>
    <w:rsid w:val="00524D3F"/>
    <w:rsid w:val="00525431"/>
    <w:rsid w:val="005256F7"/>
    <w:rsid w:val="00525CB4"/>
    <w:rsid w:val="00526038"/>
    <w:rsid w:val="00526157"/>
    <w:rsid w:val="00526233"/>
    <w:rsid w:val="00526479"/>
    <w:rsid w:val="00526CCB"/>
    <w:rsid w:val="005271DF"/>
    <w:rsid w:val="0052759B"/>
    <w:rsid w:val="00530493"/>
    <w:rsid w:val="00530E25"/>
    <w:rsid w:val="0053112F"/>
    <w:rsid w:val="00531289"/>
    <w:rsid w:val="00531421"/>
    <w:rsid w:val="00532246"/>
    <w:rsid w:val="005328FF"/>
    <w:rsid w:val="00532BEB"/>
    <w:rsid w:val="00533759"/>
    <w:rsid w:val="00534130"/>
    <w:rsid w:val="005347F2"/>
    <w:rsid w:val="00535A76"/>
    <w:rsid w:val="00535C55"/>
    <w:rsid w:val="0053619F"/>
    <w:rsid w:val="005363A7"/>
    <w:rsid w:val="005364EE"/>
    <w:rsid w:val="00536637"/>
    <w:rsid w:val="00536994"/>
    <w:rsid w:val="005369C7"/>
    <w:rsid w:val="00537678"/>
    <w:rsid w:val="00540FD2"/>
    <w:rsid w:val="00541D1C"/>
    <w:rsid w:val="00541E77"/>
    <w:rsid w:val="005425E6"/>
    <w:rsid w:val="00542924"/>
    <w:rsid w:val="00542A65"/>
    <w:rsid w:val="00542A66"/>
    <w:rsid w:val="00542BC0"/>
    <w:rsid w:val="00542DC6"/>
    <w:rsid w:val="0054357B"/>
    <w:rsid w:val="00544A39"/>
    <w:rsid w:val="00544C92"/>
    <w:rsid w:val="00544D1E"/>
    <w:rsid w:val="00544E11"/>
    <w:rsid w:val="00544E84"/>
    <w:rsid w:val="00544F05"/>
    <w:rsid w:val="005452DD"/>
    <w:rsid w:val="00545A46"/>
    <w:rsid w:val="00545D04"/>
    <w:rsid w:val="00545EA8"/>
    <w:rsid w:val="0054613C"/>
    <w:rsid w:val="005463C2"/>
    <w:rsid w:val="00546550"/>
    <w:rsid w:val="005468FB"/>
    <w:rsid w:val="00546D92"/>
    <w:rsid w:val="00546DF0"/>
    <w:rsid w:val="00546EAF"/>
    <w:rsid w:val="0054714C"/>
    <w:rsid w:val="00550993"/>
    <w:rsid w:val="005510A1"/>
    <w:rsid w:val="00551148"/>
    <w:rsid w:val="0055142B"/>
    <w:rsid w:val="00551A02"/>
    <w:rsid w:val="00551B20"/>
    <w:rsid w:val="00553692"/>
    <w:rsid w:val="005539F7"/>
    <w:rsid w:val="00553DB0"/>
    <w:rsid w:val="00553FB0"/>
    <w:rsid w:val="00555606"/>
    <w:rsid w:val="005561D4"/>
    <w:rsid w:val="00557B06"/>
    <w:rsid w:val="005605D2"/>
    <w:rsid w:val="00560709"/>
    <w:rsid w:val="0056090E"/>
    <w:rsid w:val="005613F7"/>
    <w:rsid w:val="00561854"/>
    <w:rsid w:val="00561AC4"/>
    <w:rsid w:val="00561DF9"/>
    <w:rsid w:val="00563250"/>
    <w:rsid w:val="005639AA"/>
    <w:rsid w:val="00563B6E"/>
    <w:rsid w:val="00563BE1"/>
    <w:rsid w:val="00563EFD"/>
    <w:rsid w:val="005641AE"/>
    <w:rsid w:val="00564F2D"/>
    <w:rsid w:val="0056547A"/>
    <w:rsid w:val="00565638"/>
    <w:rsid w:val="00565CDB"/>
    <w:rsid w:val="00565D91"/>
    <w:rsid w:val="0056627D"/>
    <w:rsid w:val="005667B7"/>
    <w:rsid w:val="00567A9C"/>
    <w:rsid w:val="0057123A"/>
    <w:rsid w:val="005717DE"/>
    <w:rsid w:val="00572B13"/>
    <w:rsid w:val="00572D95"/>
    <w:rsid w:val="00573DBC"/>
    <w:rsid w:val="00574256"/>
    <w:rsid w:val="005744AE"/>
    <w:rsid w:val="00574706"/>
    <w:rsid w:val="00574CF6"/>
    <w:rsid w:val="00574EDE"/>
    <w:rsid w:val="005752EC"/>
    <w:rsid w:val="0057566A"/>
    <w:rsid w:val="005757C0"/>
    <w:rsid w:val="0057596A"/>
    <w:rsid w:val="00575A86"/>
    <w:rsid w:val="00575D85"/>
    <w:rsid w:val="00575F35"/>
    <w:rsid w:val="005764F8"/>
    <w:rsid w:val="0057656A"/>
    <w:rsid w:val="0057656C"/>
    <w:rsid w:val="00576C39"/>
    <w:rsid w:val="005771CB"/>
    <w:rsid w:val="005773EC"/>
    <w:rsid w:val="00577446"/>
    <w:rsid w:val="00577753"/>
    <w:rsid w:val="00577F06"/>
    <w:rsid w:val="00577FB7"/>
    <w:rsid w:val="00580229"/>
    <w:rsid w:val="00580629"/>
    <w:rsid w:val="0058087E"/>
    <w:rsid w:val="00581199"/>
    <w:rsid w:val="00581715"/>
    <w:rsid w:val="00581A9B"/>
    <w:rsid w:val="00581C4E"/>
    <w:rsid w:val="00582356"/>
    <w:rsid w:val="00582A9A"/>
    <w:rsid w:val="00582B3C"/>
    <w:rsid w:val="00582F42"/>
    <w:rsid w:val="00583AE4"/>
    <w:rsid w:val="005847E0"/>
    <w:rsid w:val="00584820"/>
    <w:rsid w:val="00584E3C"/>
    <w:rsid w:val="005854E1"/>
    <w:rsid w:val="005854EF"/>
    <w:rsid w:val="00585B55"/>
    <w:rsid w:val="00585C01"/>
    <w:rsid w:val="00586107"/>
    <w:rsid w:val="00586304"/>
    <w:rsid w:val="0058681F"/>
    <w:rsid w:val="005870C3"/>
    <w:rsid w:val="00587360"/>
    <w:rsid w:val="00587769"/>
    <w:rsid w:val="00587C48"/>
    <w:rsid w:val="00590120"/>
    <w:rsid w:val="005906AE"/>
    <w:rsid w:val="00590D40"/>
    <w:rsid w:val="0059135B"/>
    <w:rsid w:val="005919ED"/>
    <w:rsid w:val="00591C5E"/>
    <w:rsid w:val="00592011"/>
    <w:rsid w:val="00592666"/>
    <w:rsid w:val="00592E0A"/>
    <w:rsid w:val="005954AC"/>
    <w:rsid w:val="005954E1"/>
    <w:rsid w:val="00595E76"/>
    <w:rsid w:val="0059632A"/>
    <w:rsid w:val="00597960"/>
    <w:rsid w:val="005A07B1"/>
    <w:rsid w:val="005A0F8A"/>
    <w:rsid w:val="005A1148"/>
    <w:rsid w:val="005A12C9"/>
    <w:rsid w:val="005A1371"/>
    <w:rsid w:val="005A1910"/>
    <w:rsid w:val="005A1A34"/>
    <w:rsid w:val="005A2514"/>
    <w:rsid w:val="005A32BA"/>
    <w:rsid w:val="005A376D"/>
    <w:rsid w:val="005A3D50"/>
    <w:rsid w:val="005A46D1"/>
    <w:rsid w:val="005A4AC6"/>
    <w:rsid w:val="005A4E75"/>
    <w:rsid w:val="005A4F50"/>
    <w:rsid w:val="005A507A"/>
    <w:rsid w:val="005A53EB"/>
    <w:rsid w:val="005A6971"/>
    <w:rsid w:val="005B0A39"/>
    <w:rsid w:val="005B14FD"/>
    <w:rsid w:val="005B1C1C"/>
    <w:rsid w:val="005B1CFB"/>
    <w:rsid w:val="005B2212"/>
    <w:rsid w:val="005B24F5"/>
    <w:rsid w:val="005B29C0"/>
    <w:rsid w:val="005B2D3A"/>
    <w:rsid w:val="005B3C5A"/>
    <w:rsid w:val="005B484B"/>
    <w:rsid w:val="005B5963"/>
    <w:rsid w:val="005B6734"/>
    <w:rsid w:val="005B6828"/>
    <w:rsid w:val="005B6A8D"/>
    <w:rsid w:val="005B6B3D"/>
    <w:rsid w:val="005B6F08"/>
    <w:rsid w:val="005B6FB7"/>
    <w:rsid w:val="005B727D"/>
    <w:rsid w:val="005C09A6"/>
    <w:rsid w:val="005C09FD"/>
    <w:rsid w:val="005C1D5B"/>
    <w:rsid w:val="005C2903"/>
    <w:rsid w:val="005C296D"/>
    <w:rsid w:val="005C339C"/>
    <w:rsid w:val="005C341C"/>
    <w:rsid w:val="005C3616"/>
    <w:rsid w:val="005C36CB"/>
    <w:rsid w:val="005C3744"/>
    <w:rsid w:val="005C3C9A"/>
    <w:rsid w:val="005C4AAA"/>
    <w:rsid w:val="005C5489"/>
    <w:rsid w:val="005C57F9"/>
    <w:rsid w:val="005C5E3B"/>
    <w:rsid w:val="005C60B5"/>
    <w:rsid w:val="005C654F"/>
    <w:rsid w:val="005C74B2"/>
    <w:rsid w:val="005C7630"/>
    <w:rsid w:val="005C768B"/>
    <w:rsid w:val="005C773A"/>
    <w:rsid w:val="005D0735"/>
    <w:rsid w:val="005D0C52"/>
    <w:rsid w:val="005D113E"/>
    <w:rsid w:val="005D1DE4"/>
    <w:rsid w:val="005D27E2"/>
    <w:rsid w:val="005D655F"/>
    <w:rsid w:val="005D6CAB"/>
    <w:rsid w:val="005D7495"/>
    <w:rsid w:val="005D763A"/>
    <w:rsid w:val="005D78B7"/>
    <w:rsid w:val="005D791F"/>
    <w:rsid w:val="005D7AD8"/>
    <w:rsid w:val="005E0397"/>
    <w:rsid w:val="005E0676"/>
    <w:rsid w:val="005E08A7"/>
    <w:rsid w:val="005E1D31"/>
    <w:rsid w:val="005E3E9D"/>
    <w:rsid w:val="005E5330"/>
    <w:rsid w:val="005E53FA"/>
    <w:rsid w:val="005E5461"/>
    <w:rsid w:val="005E56C0"/>
    <w:rsid w:val="005E6037"/>
    <w:rsid w:val="005E6523"/>
    <w:rsid w:val="005E7A49"/>
    <w:rsid w:val="005F16BD"/>
    <w:rsid w:val="005F1710"/>
    <w:rsid w:val="005F17C5"/>
    <w:rsid w:val="005F29A3"/>
    <w:rsid w:val="005F325B"/>
    <w:rsid w:val="005F35FE"/>
    <w:rsid w:val="005F4617"/>
    <w:rsid w:val="005F5780"/>
    <w:rsid w:val="005F6618"/>
    <w:rsid w:val="005F67F3"/>
    <w:rsid w:val="005F69FA"/>
    <w:rsid w:val="005F6BCD"/>
    <w:rsid w:val="005F71B3"/>
    <w:rsid w:val="00600E34"/>
    <w:rsid w:val="006012B3"/>
    <w:rsid w:val="00602033"/>
    <w:rsid w:val="00604136"/>
    <w:rsid w:val="006046D8"/>
    <w:rsid w:val="006046E1"/>
    <w:rsid w:val="00604994"/>
    <w:rsid w:val="00604B10"/>
    <w:rsid w:val="00604C3C"/>
    <w:rsid w:val="00604CA8"/>
    <w:rsid w:val="00605A62"/>
    <w:rsid w:val="00605E3D"/>
    <w:rsid w:val="00606339"/>
    <w:rsid w:val="00606E01"/>
    <w:rsid w:val="00606ECC"/>
    <w:rsid w:val="00606F91"/>
    <w:rsid w:val="0060721B"/>
    <w:rsid w:val="006076D5"/>
    <w:rsid w:val="00610403"/>
    <w:rsid w:val="006109CC"/>
    <w:rsid w:val="00610CD3"/>
    <w:rsid w:val="00611BA8"/>
    <w:rsid w:val="0061248D"/>
    <w:rsid w:val="00612BA1"/>
    <w:rsid w:val="00612E69"/>
    <w:rsid w:val="0061356E"/>
    <w:rsid w:val="0061369A"/>
    <w:rsid w:val="00613953"/>
    <w:rsid w:val="00613A12"/>
    <w:rsid w:val="00613A84"/>
    <w:rsid w:val="00613C22"/>
    <w:rsid w:val="00613C37"/>
    <w:rsid w:val="006147C5"/>
    <w:rsid w:val="0061517C"/>
    <w:rsid w:val="00615A71"/>
    <w:rsid w:val="00615C74"/>
    <w:rsid w:val="006160C7"/>
    <w:rsid w:val="006164FF"/>
    <w:rsid w:val="00616B33"/>
    <w:rsid w:val="00617566"/>
    <w:rsid w:val="00617CAF"/>
    <w:rsid w:val="00617F75"/>
    <w:rsid w:val="0062009C"/>
    <w:rsid w:val="0062034C"/>
    <w:rsid w:val="00620766"/>
    <w:rsid w:val="00620A34"/>
    <w:rsid w:val="006210A8"/>
    <w:rsid w:val="0062176C"/>
    <w:rsid w:val="00621A24"/>
    <w:rsid w:val="006221E3"/>
    <w:rsid w:val="00622365"/>
    <w:rsid w:val="006227EF"/>
    <w:rsid w:val="0062292E"/>
    <w:rsid w:val="00622948"/>
    <w:rsid w:val="00622E3A"/>
    <w:rsid w:val="00623F5A"/>
    <w:rsid w:val="00623FBD"/>
    <w:rsid w:val="00624871"/>
    <w:rsid w:val="00624DFC"/>
    <w:rsid w:val="0062514F"/>
    <w:rsid w:val="006253AF"/>
    <w:rsid w:val="0062593B"/>
    <w:rsid w:val="00625BE3"/>
    <w:rsid w:val="00625C8E"/>
    <w:rsid w:val="00626126"/>
    <w:rsid w:val="00626678"/>
    <w:rsid w:val="00626868"/>
    <w:rsid w:val="00626C50"/>
    <w:rsid w:val="006274E9"/>
    <w:rsid w:val="006278B1"/>
    <w:rsid w:val="00627D5A"/>
    <w:rsid w:val="00627DB7"/>
    <w:rsid w:val="00627F44"/>
    <w:rsid w:val="0063016C"/>
    <w:rsid w:val="006310BC"/>
    <w:rsid w:val="006313DB"/>
    <w:rsid w:val="006321EE"/>
    <w:rsid w:val="0063254D"/>
    <w:rsid w:val="0063273A"/>
    <w:rsid w:val="00633521"/>
    <w:rsid w:val="006344C0"/>
    <w:rsid w:val="00634963"/>
    <w:rsid w:val="006351B3"/>
    <w:rsid w:val="0063530A"/>
    <w:rsid w:val="0063579D"/>
    <w:rsid w:val="0063580A"/>
    <w:rsid w:val="006358D6"/>
    <w:rsid w:val="00635B56"/>
    <w:rsid w:val="0063602E"/>
    <w:rsid w:val="006368FD"/>
    <w:rsid w:val="00637137"/>
    <w:rsid w:val="00637349"/>
    <w:rsid w:val="006374EA"/>
    <w:rsid w:val="006375B6"/>
    <w:rsid w:val="00637824"/>
    <w:rsid w:val="006378C9"/>
    <w:rsid w:val="006401CB"/>
    <w:rsid w:val="00640BF2"/>
    <w:rsid w:val="00640E0F"/>
    <w:rsid w:val="00641284"/>
    <w:rsid w:val="00643189"/>
    <w:rsid w:val="006433C2"/>
    <w:rsid w:val="006436AF"/>
    <w:rsid w:val="006438C4"/>
    <w:rsid w:val="00643BD7"/>
    <w:rsid w:val="006448D7"/>
    <w:rsid w:val="006449C1"/>
    <w:rsid w:val="00646CB9"/>
    <w:rsid w:val="006471F4"/>
    <w:rsid w:val="00647474"/>
    <w:rsid w:val="00647D56"/>
    <w:rsid w:val="00647D78"/>
    <w:rsid w:val="006507F4"/>
    <w:rsid w:val="006512B1"/>
    <w:rsid w:val="00651921"/>
    <w:rsid w:val="006520C8"/>
    <w:rsid w:val="00652177"/>
    <w:rsid w:val="0065257E"/>
    <w:rsid w:val="00652780"/>
    <w:rsid w:val="00652B69"/>
    <w:rsid w:val="00652EA4"/>
    <w:rsid w:val="00653FE4"/>
    <w:rsid w:val="006540B2"/>
    <w:rsid w:val="0065417B"/>
    <w:rsid w:val="0065510B"/>
    <w:rsid w:val="006552EE"/>
    <w:rsid w:val="00655605"/>
    <w:rsid w:val="00655A39"/>
    <w:rsid w:val="00655B89"/>
    <w:rsid w:val="006562B2"/>
    <w:rsid w:val="006565EC"/>
    <w:rsid w:val="00657006"/>
    <w:rsid w:val="006601F0"/>
    <w:rsid w:val="0066234C"/>
    <w:rsid w:val="006628F1"/>
    <w:rsid w:val="0066295F"/>
    <w:rsid w:val="0066352E"/>
    <w:rsid w:val="0066463A"/>
    <w:rsid w:val="00665476"/>
    <w:rsid w:val="0066565F"/>
    <w:rsid w:val="006657D3"/>
    <w:rsid w:val="00665B79"/>
    <w:rsid w:val="00667089"/>
    <w:rsid w:val="0066796D"/>
    <w:rsid w:val="00667BA3"/>
    <w:rsid w:val="00670BA4"/>
    <w:rsid w:val="00671092"/>
    <w:rsid w:val="006725FF"/>
    <w:rsid w:val="00672780"/>
    <w:rsid w:val="0067287E"/>
    <w:rsid w:val="00673AF7"/>
    <w:rsid w:val="00673FF7"/>
    <w:rsid w:val="00674D62"/>
    <w:rsid w:val="00674DD3"/>
    <w:rsid w:val="0067748A"/>
    <w:rsid w:val="006816F2"/>
    <w:rsid w:val="006827B4"/>
    <w:rsid w:val="006828B9"/>
    <w:rsid w:val="006828C3"/>
    <w:rsid w:val="00682943"/>
    <w:rsid w:val="00682DBF"/>
    <w:rsid w:val="0068311E"/>
    <w:rsid w:val="00683C75"/>
    <w:rsid w:val="006844D1"/>
    <w:rsid w:val="00684A8B"/>
    <w:rsid w:val="00684AE5"/>
    <w:rsid w:val="00685FAC"/>
    <w:rsid w:val="00686628"/>
    <w:rsid w:val="006869D9"/>
    <w:rsid w:val="00686F90"/>
    <w:rsid w:val="00687164"/>
    <w:rsid w:val="0068748F"/>
    <w:rsid w:val="006902D6"/>
    <w:rsid w:val="006903D9"/>
    <w:rsid w:val="00690B19"/>
    <w:rsid w:val="0069120C"/>
    <w:rsid w:val="00691D36"/>
    <w:rsid w:val="00693332"/>
    <w:rsid w:val="00693BA9"/>
    <w:rsid w:val="00693D4A"/>
    <w:rsid w:val="00694631"/>
    <w:rsid w:val="00694712"/>
    <w:rsid w:val="00695436"/>
    <w:rsid w:val="00695817"/>
    <w:rsid w:val="00695B36"/>
    <w:rsid w:val="00695EC3"/>
    <w:rsid w:val="0069663F"/>
    <w:rsid w:val="006971BB"/>
    <w:rsid w:val="006A0194"/>
    <w:rsid w:val="006A01C9"/>
    <w:rsid w:val="006A0FBB"/>
    <w:rsid w:val="006A1066"/>
    <w:rsid w:val="006A1466"/>
    <w:rsid w:val="006A1684"/>
    <w:rsid w:val="006A2B25"/>
    <w:rsid w:val="006A344E"/>
    <w:rsid w:val="006A3450"/>
    <w:rsid w:val="006A358D"/>
    <w:rsid w:val="006A398A"/>
    <w:rsid w:val="006A39F7"/>
    <w:rsid w:val="006A3AE7"/>
    <w:rsid w:val="006A4766"/>
    <w:rsid w:val="006A5A9E"/>
    <w:rsid w:val="006A5AA2"/>
    <w:rsid w:val="006A5C07"/>
    <w:rsid w:val="006A6A10"/>
    <w:rsid w:val="006A6CC7"/>
    <w:rsid w:val="006B0960"/>
    <w:rsid w:val="006B1E2E"/>
    <w:rsid w:val="006B30F6"/>
    <w:rsid w:val="006B3169"/>
    <w:rsid w:val="006B3571"/>
    <w:rsid w:val="006B3D54"/>
    <w:rsid w:val="006B4698"/>
    <w:rsid w:val="006B52A7"/>
    <w:rsid w:val="006B57E2"/>
    <w:rsid w:val="006B580F"/>
    <w:rsid w:val="006B5C94"/>
    <w:rsid w:val="006B6C2A"/>
    <w:rsid w:val="006B6D06"/>
    <w:rsid w:val="006B6D37"/>
    <w:rsid w:val="006B71D6"/>
    <w:rsid w:val="006B76B3"/>
    <w:rsid w:val="006C04FA"/>
    <w:rsid w:val="006C0837"/>
    <w:rsid w:val="006C127B"/>
    <w:rsid w:val="006C1ADD"/>
    <w:rsid w:val="006C1B41"/>
    <w:rsid w:val="006C3262"/>
    <w:rsid w:val="006C336D"/>
    <w:rsid w:val="006C3CE3"/>
    <w:rsid w:val="006C43D2"/>
    <w:rsid w:val="006C45C8"/>
    <w:rsid w:val="006C6318"/>
    <w:rsid w:val="006C65D5"/>
    <w:rsid w:val="006C6C80"/>
    <w:rsid w:val="006C7733"/>
    <w:rsid w:val="006D0BD3"/>
    <w:rsid w:val="006D0D5A"/>
    <w:rsid w:val="006D271B"/>
    <w:rsid w:val="006D2CEB"/>
    <w:rsid w:val="006D3077"/>
    <w:rsid w:val="006D3871"/>
    <w:rsid w:val="006D3B09"/>
    <w:rsid w:val="006D42AA"/>
    <w:rsid w:val="006D4387"/>
    <w:rsid w:val="006D4F8F"/>
    <w:rsid w:val="006D598D"/>
    <w:rsid w:val="006D5A91"/>
    <w:rsid w:val="006D63FA"/>
    <w:rsid w:val="006D657F"/>
    <w:rsid w:val="006D6B3C"/>
    <w:rsid w:val="006D77A6"/>
    <w:rsid w:val="006D7860"/>
    <w:rsid w:val="006D7ADD"/>
    <w:rsid w:val="006D7F99"/>
    <w:rsid w:val="006E05E7"/>
    <w:rsid w:val="006E067D"/>
    <w:rsid w:val="006E0C7E"/>
    <w:rsid w:val="006E1287"/>
    <w:rsid w:val="006E139D"/>
    <w:rsid w:val="006E2B3C"/>
    <w:rsid w:val="006E41BB"/>
    <w:rsid w:val="006E4F9B"/>
    <w:rsid w:val="006E5225"/>
    <w:rsid w:val="006E5F90"/>
    <w:rsid w:val="006E61FA"/>
    <w:rsid w:val="006E6466"/>
    <w:rsid w:val="006E6AAA"/>
    <w:rsid w:val="006E74CE"/>
    <w:rsid w:val="006F038C"/>
    <w:rsid w:val="006F0464"/>
    <w:rsid w:val="006F14F6"/>
    <w:rsid w:val="006F2099"/>
    <w:rsid w:val="006F2408"/>
    <w:rsid w:val="006F3806"/>
    <w:rsid w:val="006F4189"/>
    <w:rsid w:val="006F4704"/>
    <w:rsid w:val="006F4B57"/>
    <w:rsid w:val="006F57FE"/>
    <w:rsid w:val="006F5A02"/>
    <w:rsid w:val="006F5D99"/>
    <w:rsid w:val="006F6B99"/>
    <w:rsid w:val="006F722C"/>
    <w:rsid w:val="006F7D97"/>
    <w:rsid w:val="00700617"/>
    <w:rsid w:val="00701618"/>
    <w:rsid w:val="007022C0"/>
    <w:rsid w:val="00702454"/>
    <w:rsid w:val="0070247A"/>
    <w:rsid w:val="00702F1A"/>
    <w:rsid w:val="0070328C"/>
    <w:rsid w:val="007037B6"/>
    <w:rsid w:val="00703A1F"/>
    <w:rsid w:val="00703B41"/>
    <w:rsid w:val="00703E18"/>
    <w:rsid w:val="00704113"/>
    <w:rsid w:val="00705125"/>
    <w:rsid w:val="00705B95"/>
    <w:rsid w:val="00705C90"/>
    <w:rsid w:val="007063EB"/>
    <w:rsid w:val="00706602"/>
    <w:rsid w:val="007069A1"/>
    <w:rsid w:val="00706E0B"/>
    <w:rsid w:val="007071E3"/>
    <w:rsid w:val="00707300"/>
    <w:rsid w:val="00707458"/>
    <w:rsid w:val="00707935"/>
    <w:rsid w:val="00711B45"/>
    <w:rsid w:val="007120D6"/>
    <w:rsid w:val="00712616"/>
    <w:rsid w:val="0071390F"/>
    <w:rsid w:val="00714374"/>
    <w:rsid w:val="0071491F"/>
    <w:rsid w:val="0071599D"/>
    <w:rsid w:val="00715ADB"/>
    <w:rsid w:val="00716291"/>
    <w:rsid w:val="007172D2"/>
    <w:rsid w:val="007173E7"/>
    <w:rsid w:val="007204CF"/>
    <w:rsid w:val="00720707"/>
    <w:rsid w:val="00720951"/>
    <w:rsid w:val="00720A47"/>
    <w:rsid w:val="0072136A"/>
    <w:rsid w:val="007218C1"/>
    <w:rsid w:val="00721C7E"/>
    <w:rsid w:val="00722281"/>
    <w:rsid w:val="007227A3"/>
    <w:rsid w:val="00722CAC"/>
    <w:rsid w:val="00722E16"/>
    <w:rsid w:val="0072330E"/>
    <w:rsid w:val="007244E5"/>
    <w:rsid w:val="0072491D"/>
    <w:rsid w:val="00724D65"/>
    <w:rsid w:val="00725154"/>
    <w:rsid w:val="007251FF"/>
    <w:rsid w:val="0072524B"/>
    <w:rsid w:val="00725A44"/>
    <w:rsid w:val="00725D45"/>
    <w:rsid w:val="00727DD7"/>
    <w:rsid w:val="00727F20"/>
    <w:rsid w:val="007300C3"/>
    <w:rsid w:val="00730B4A"/>
    <w:rsid w:val="00731036"/>
    <w:rsid w:val="00731756"/>
    <w:rsid w:val="007317ED"/>
    <w:rsid w:val="00731F1F"/>
    <w:rsid w:val="00732650"/>
    <w:rsid w:val="0073298A"/>
    <w:rsid w:val="00732C78"/>
    <w:rsid w:val="007338C1"/>
    <w:rsid w:val="00733988"/>
    <w:rsid w:val="0073449C"/>
    <w:rsid w:val="00734B72"/>
    <w:rsid w:val="00734BF8"/>
    <w:rsid w:val="00735370"/>
    <w:rsid w:val="00735A6E"/>
    <w:rsid w:val="0073607D"/>
    <w:rsid w:val="007364ED"/>
    <w:rsid w:val="00736915"/>
    <w:rsid w:val="00736ECC"/>
    <w:rsid w:val="007409E0"/>
    <w:rsid w:val="00740B25"/>
    <w:rsid w:val="007414C8"/>
    <w:rsid w:val="00741877"/>
    <w:rsid w:val="00741A39"/>
    <w:rsid w:val="0074266D"/>
    <w:rsid w:val="00742CCE"/>
    <w:rsid w:val="00742E34"/>
    <w:rsid w:val="00742E77"/>
    <w:rsid w:val="00742FDB"/>
    <w:rsid w:val="0074352B"/>
    <w:rsid w:val="00743C01"/>
    <w:rsid w:val="00744274"/>
    <w:rsid w:val="00744723"/>
    <w:rsid w:val="0074481A"/>
    <w:rsid w:val="00744EF4"/>
    <w:rsid w:val="007452A5"/>
    <w:rsid w:val="00745745"/>
    <w:rsid w:val="00745874"/>
    <w:rsid w:val="00745BB2"/>
    <w:rsid w:val="007465DC"/>
    <w:rsid w:val="00746E28"/>
    <w:rsid w:val="00747710"/>
    <w:rsid w:val="0074794D"/>
    <w:rsid w:val="00747A1B"/>
    <w:rsid w:val="00747A2C"/>
    <w:rsid w:val="00750002"/>
    <w:rsid w:val="007502A7"/>
    <w:rsid w:val="00750816"/>
    <w:rsid w:val="00750819"/>
    <w:rsid w:val="00750826"/>
    <w:rsid w:val="00750883"/>
    <w:rsid w:val="00751203"/>
    <w:rsid w:val="00751218"/>
    <w:rsid w:val="0075188B"/>
    <w:rsid w:val="00752D27"/>
    <w:rsid w:val="00752E94"/>
    <w:rsid w:val="0075306C"/>
    <w:rsid w:val="00753214"/>
    <w:rsid w:val="00753B0E"/>
    <w:rsid w:val="00753F11"/>
    <w:rsid w:val="00754F96"/>
    <w:rsid w:val="0075586B"/>
    <w:rsid w:val="007559C9"/>
    <w:rsid w:val="00755E2C"/>
    <w:rsid w:val="00756563"/>
    <w:rsid w:val="007565F5"/>
    <w:rsid w:val="00757186"/>
    <w:rsid w:val="00757B7B"/>
    <w:rsid w:val="00757CC6"/>
    <w:rsid w:val="00757CF9"/>
    <w:rsid w:val="00760B7E"/>
    <w:rsid w:val="00760D38"/>
    <w:rsid w:val="007616CA"/>
    <w:rsid w:val="00761E6D"/>
    <w:rsid w:val="00762957"/>
    <w:rsid w:val="007629B0"/>
    <w:rsid w:val="00763667"/>
    <w:rsid w:val="00763E0C"/>
    <w:rsid w:val="007640F6"/>
    <w:rsid w:val="00765370"/>
    <w:rsid w:val="00765739"/>
    <w:rsid w:val="00766BFB"/>
    <w:rsid w:val="00766DEC"/>
    <w:rsid w:val="00767B63"/>
    <w:rsid w:val="00767FA3"/>
    <w:rsid w:val="00770878"/>
    <w:rsid w:val="00770B16"/>
    <w:rsid w:val="00770E22"/>
    <w:rsid w:val="00771988"/>
    <w:rsid w:val="007720AA"/>
    <w:rsid w:val="0077263B"/>
    <w:rsid w:val="007729F2"/>
    <w:rsid w:val="00772B2A"/>
    <w:rsid w:val="00773480"/>
    <w:rsid w:val="0077401E"/>
    <w:rsid w:val="00774BFA"/>
    <w:rsid w:val="0077537B"/>
    <w:rsid w:val="007756B4"/>
    <w:rsid w:val="00775A9D"/>
    <w:rsid w:val="00775E06"/>
    <w:rsid w:val="0077618A"/>
    <w:rsid w:val="00776350"/>
    <w:rsid w:val="00776970"/>
    <w:rsid w:val="00777321"/>
    <w:rsid w:val="00777371"/>
    <w:rsid w:val="00780249"/>
    <w:rsid w:val="007804AF"/>
    <w:rsid w:val="007808EB"/>
    <w:rsid w:val="00780E89"/>
    <w:rsid w:val="00781810"/>
    <w:rsid w:val="00781CAB"/>
    <w:rsid w:val="00782951"/>
    <w:rsid w:val="00782D2F"/>
    <w:rsid w:val="007831CD"/>
    <w:rsid w:val="0078327D"/>
    <w:rsid w:val="0078407E"/>
    <w:rsid w:val="0078409E"/>
    <w:rsid w:val="007846C1"/>
    <w:rsid w:val="007849AE"/>
    <w:rsid w:val="00784A08"/>
    <w:rsid w:val="00784E2E"/>
    <w:rsid w:val="00787B4B"/>
    <w:rsid w:val="0079009C"/>
    <w:rsid w:val="00790495"/>
    <w:rsid w:val="00790AA2"/>
    <w:rsid w:val="007923CD"/>
    <w:rsid w:val="00792F5C"/>
    <w:rsid w:val="00793120"/>
    <w:rsid w:val="00793CC3"/>
    <w:rsid w:val="00793E4B"/>
    <w:rsid w:val="00794365"/>
    <w:rsid w:val="007947BB"/>
    <w:rsid w:val="0079510A"/>
    <w:rsid w:val="00795863"/>
    <w:rsid w:val="007974B6"/>
    <w:rsid w:val="007A0071"/>
    <w:rsid w:val="007A0AD3"/>
    <w:rsid w:val="007A182C"/>
    <w:rsid w:val="007A201C"/>
    <w:rsid w:val="007A2A43"/>
    <w:rsid w:val="007A2E23"/>
    <w:rsid w:val="007A32DC"/>
    <w:rsid w:val="007A3A3A"/>
    <w:rsid w:val="007A3E59"/>
    <w:rsid w:val="007A46E8"/>
    <w:rsid w:val="007A497C"/>
    <w:rsid w:val="007A5343"/>
    <w:rsid w:val="007A5E30"/>
    <w:rsid w:val="007A73EF"/>
    <w:rsid w:val="007B1938"/>
    <w:rsid w:val="007B1C9B"/>
    <w:rsid w:val="007B3E9A"/>
    <w:rsid w:val="007B499C"/>
    <w:rsid w:val="007B4BFB"/>
    <w:rsid w:val="007B56EA"/>
    <w:rsid w:val="007B57C5"/>
    <w:rsid w:val="007B5963"/>
    <w:rsid w:val="007B6E12"/>
    <w:rsid w:val="007B7F69"/>
    <w:rsid w:val="007C057D"/>
    <w:rsid w:val="007C1D3C"/>
    <w:rsid w:val="007C37A3"/>
    <w:rsid w:val="007C3803"/>
    <w:rsid w:val="007C3BB1"/>
    <w:rsid w:val="007C4351"/>
    <w:rsid w:val="007C476A"/>
    <w:rsid w:val="007C521B"/>
    <w:rsid w:val="007C5251"/>
    <w:rsid w:val="007C58E0"/>
    <w:rsid w:val="007C5D2F"/>
    <w:rsid w:val="007C5F8D"/>
    <w:rsid w:val="007C68BC"/>
    <w:rsid w:val="007C6EFE"/>
    <w:rsid w:val="007C71E8"/>
    <w:rsid w:val="007C77A1"/>
    <w:rsid w:val="007C7BE1"/>
    <w:rsid w:val="007D0957"/>
    <w:rsid w:val="007D09B0"/>
    <w:rsid w:val="007D0E9F"/>
    <w:rsid w:val="007D0F1E"/>
    <w:rsid w:val="007D1F16"/>
    <w:rsid w:val="007D254A"/>
    <w:rsid w:val="007D2CCF"/>
    <w:rsid w:val="007D333F"/>
    <w:rsid w:val="007D38B8"/>
    <w:rsid w:val="007D3AF4"/>
    <w:rsid w:val="007D3F73"/>
    <w:rsid w:val="007D443B"/>
    <w:rsid w:val="007D492A"/>
    <w:rsid w:val="007D4B77"/>
    <w:rsid w:val="007D516D"/>
    <w:rsid w:val="007D541E"/>
    <w:rsid w:val="007D6012"/>
    <w:rsid w:val="007D611B"/>
    <w:rsid w:val="007D66A8"/>
    <w:rsid w:val="007D6BD0"/>
    <w:rsid w:val="007D767C"/>
    <w:rsid w:val="007D77CB"/>
    <w:rsid w:val="007D7944"/>
    <w:rsid w:val="007D7A0E"/>
    <w:rsid w:val="007D7BE7"/>
    <w:rsid w:val="007E0C31"/>
    <w:rsid w:val="007E205F"/>
    <w:rsid w:val="007E283C"/>
    <w:rsid w:val="007E3576"/>
    <w:rsid w:val="007E3BD6"/>
    <w:rsid w:val="007E438C"/>
    <w:rsid w:val="007E4455"/>
    <w:rsid w:val="007E570F"/>
    <w:rsid w:val="007E5BD1"/>
    <w:rsid w:val="007E6545"/>
    <w:rsid w:val="007E6781"/>
    <w:rsid w:val="007E6FA0"/>
    <w:rsid w:val="007E7249"/>
    <w:rsid w:val="007E72FB"/>
    <w:rsid w:val="007E76FE"/>
    <w:rsid w:val="007E798A"/>
    <w:rsid w:val="007E7B3F"/>
    <w:rsid w:val="007E7C36"/>
    <w:rsid w:val="007E7E58"/>
    <w:rsid w:val="007F1CA6"/>
    <w:rsid w:val="007F1E8A"/>
    <w:rsid w:val="007F1F8B"/>
    <w:rsid w:val="007F2D35"/>
    <w:rsid w:val="007F31F5"/>
    <w:rsid w:val="007F3252"/>
    <w:rsid w:val="007F4D0E"/>
    <w:rsid w:val="007F4F76"/>
    <w:rsid w:val="007F5540"/>
    <w:rsid w:val="007F55E1"/>
    <w:rsid w:val="007F58C8"/>
    <w:rsid w:val="007F58DA"/>
    <w:rsid w:val="007F7F42"/>
    <w:rsid w:val="00800133"/>
    <w:rsid w:val="008005C8"/>
    <w:rsid w:val="0080080A"/>
    <w:rsid w:val="00800C4F"/>
    <w:rsid w:val="0080111D"/>
    <w:rsid w:val="0080132C"/>
    <w:rsid w:val="008022E1"/>
    <w:rsid w:val="00803553"/>
    <w:rsid w:val="00803BF7"/>
    <w:rsid w:val="00803DD0"/>
    <w:rsid w:val="0080474F"/>
    <w:rsid w:val="008048AB"/>
    <w:rsid w:val="00804E7B"/>
    <w:rsid w:val="008051D7"/>
    <w:rsid w:val="008056A3"/>
    <w:rsid w:val="00806052"/>
    <w:rsid w:val="00807605"/>
    <w:rsid w:val="00807B96"/>
    <w:rsid w:val="0081025B"/>
    <w:rsid w:val="00810B62"/>
    <w:rsid w:val="00810DC9"/>
    <w:rsid w:val="00810E83"/>
    <w:rsid w:val="008110B3"/>
    <w:rsid w:val="0081167A"/>
    <w:rsid w:val="00811AD3"/>
    <w:rsid w:val="00811CAC"/>
    <w:rsid w:val="00813473"/>
    <w:rsid w:val="00813D11"/>
    <w:rsid w:val="00813EA5"/>
    <w:rsid w:val="00814DB4"/>
    <w:rsid w:val="00814E14"/>
    <w:rsid w:val="00814F18"/>
    <w:rsid w:val="00815000"/>
    <w:rsid w:val="00815D35"/>
    <w:rsid w:val="00815E5E"/>
    <w:rsid w:val="008162FC"/>
    <w:rsid w:val="00816ABF"/>
    <w:rsid w:val="00817A46"/>
    <w:rsid w:val="008213F1"/>
    <w:rsid w:val="0082171F"/>
    <w:rsid w:val="008217C5"/>
    <w:rsid w:val="00821E18"/>
    <w:rsid w:val="00822648"/>
    <w:rsid w:val="0082315C"/>
    <w:rsid w:val="008234D8"/>
    <w:rsid w:val="00824344"/>
    <w:rsid w:val="008243A3"/>
    <w:rsid w:val="00824894"/>
    <w:rsid w:val="00824D19"/>
    <w:rsid w:val="008252CC"/>
    <w:rsid w:val="008255FE"/>
    <w:rsid w:val="0082581D"/>
    <w:rsid w:val="0082602E"/>
    <w:rsid w:val="0082615F"/>
    <w:rsid w:val="008267E7"/>
    <w:rsid w:val="00827C1C"/>
    <w:rsid w:val="00830FCC"/>
    <w:rsid w:val="008312D6"/>
    <w:rsid w:val="00831DEA"/>
    <w:rsid w:val="00832163"/>
    <w:rsid w:val="008327EB"/>
    <w:rsid w:val="008331AB"/>
    <w:rsid w:val="0083461D"/>
    <w:rsid w:val="00834835"/>
    <w:rsid w:val="00834938"/>
    <w:rsid w:val="00834C1E"/>
    <w:rsid w:val="00834E68"/>
    <w:rsid w:val="00834F5F"/>
    <w:rsid w:val="008357C6"/>
    <w:rsid w:val="00835E68"/>
    <w:rsid w:val="00835F78"/>
    <w:rsid w:val="0083751C"/>
    <w:rsid w:val="008378FC"/>
    <w:rsid w:val="00837ED8"/>
    <w:rsid w:val="00840D42"/>
    <w:rsid w:val="00840DD7"/>
    <w:rsid w:val="00841191"/>
    <w:rsid w:val="008412EA"/>
    <w:rsid w:val="0084154A"/>
    <w:rsid w:val="00842762"/>
    <w:rsid w:val="00842D92"/>
    <w:rsid w:val="0084332D"/>
    <w:rsid w:val="00843896"/>
    <w:rsid w:val="0084476E"/>
    <w:rsid w:val="00845A61"/>
    <w:rsid w:val="00845E91"/>
    <w:rsid w:val="0084601D"/>
    <w:rsid w:val="008467D3"/>
    <w:rsid w:val="00847049"/>
    <w:rsid w:val="008470D2"/>
    <w:rsid w:val="00850734"/>
    <w:rsid w:val="00850939"/>
    <w:rsid w:val="0085158E"/>
    <w:rsid w:val="00852118"/>
    <w:rsid w:val="00852969"/>
    <w:rsid w:val="00852A4E"/>
    <w:rsid w:val="00853279"/>
    <w:rsid w:val="00853720"/>
    <w:rsid w:val="00853E37"/>
    <w:rsid w:val="008545D7"/>
    <w:rsid w:val="008548A5"/>
    <w:rsid w:val="00854DEB"/>
    <w:rsid w:val="008574D9"/>
    <w:rsid w:val="0085769D"/>
    <w:rsid w:val="00861748"/>
    <w:rsid w:val="00861DD5"/>
    <w:rsid w:val="008620D9"/>
    <w:rsid w:val="00862F54"/>
    <w:rsid w:val="00863919"/>
    <w:rsid w:val="008640E9"/>
    <w:rsid w:val="00864B2A"/>
    <w:rsid w:val="00865F14"/>
    <w:rsid w:val="00865FC1"/>
    <w:rsid w:val="008666F6"/>
    <w:rsid w:val="008675CD"/>
    <w:rsid w:val="008679D8"/>
    <w:rsid w:val="00870312"/>
    <w:rsid w:val="00870492"/>
    <w:rsid w:val="008707AC"/>
    <w:rsid w:val="008721D1"/>
    <w:rsid w:val="00872E28"/>
    <w:rsid w:val="00872FCF"/>
    <w:rsid w:val="00873B5E"/>
    <w:rsid w:val="00873E07"/>
    <w:rsid w:val="00873E74"/>
    <w:rsid w:val="0087627C"/>
    <w:rsid w:val="00876391"/>
    <w:rsid w:val="00876D37"/>
    <w:rsid w:val="008773AF"/>
    <w:rsid w:val="0087758D"/>
    <w:rsid w:val="00877A7E"/>
    <w:rsid w:val="00880AA0"/>
    <w:rsid w:val="00880C94"/>
    <w:rsid w:val="00880E23"/>
    <w:rsid w:val="008810B3"/>
    <w:rsid w:val="0088151C"/>
    <w:rsid w:val="00881543"/>
    <w:rsid w:val="008817D9"/>
    <w:rsid w:val="008819A5"/>
    <w:rsid w:val="00882EDF"/>
    <w:rsid w:val="00883112"/>
    <w:rsid w:val="0088344B"/>
    <w:rsid w:val="00883789"/>
    <w:rsid w:val="008837CA"/>
    <w:rsid w:val="00883A84"/>
    <w:rsid w:val="00883D8A"/>
    <w:rsid w:val="0088433D"/>
    <w:rsid w:val="0088491B"/>
    <w:rsid w:val="008850B3"/>
    <w:rsid w:val="008857EC"/>
    <w:rsid w:val="00885F43"/>
    <w:rsid w:val="00886913"/>
    <w:rsid w:val="00886F39"/>
    <w:rsid w:val="008878C5"/>
    <w:rsid w:val="00887AEB"/>
    <w:rsid w:val="00890E5A"/>
    <w:rsid w:val="008913C1"/>
    <w:rsid w:val="00891566"/>
    <w:rsid w:val="00891B37"/>
    <w:rsid w:val="00891E54"/>
    <w:rsid w:val="0089221B"/>
    <w:rsid w:val="00892EFD"/>
    <w:rsid w:val="00893270"/>
    <w:rsid w:val="00893C50"/>
    <w:rsid w:val="00893D16"/>
    <w:rsid w:val="00893E77"/>
    <w:rsid w:val="00893F70"/>
    <w:rsid w:val="008943C6"/>
    <w:rsid w:val="0089537A"/>
    <w:rsid w:val="00895B68"/>
    <w:rsid w:val="0089653B"/>
    <w:rsid w:val="008968A8"/>
    <w:rsid w:val="0089699F"/>
    <w:rsid w:val="008971FF"/>
    <w:rsid w:val="0089772E"/>
    <w:rsid w:val="0089776F"/>
    <w:rsid w:val="00897DDA"/>
    <w:rsid w:val="00897FE8"/>
    <w:rsid w:val="008A03C4"/>
    <w:rsid w:val="008A0552"/>
    <w:rsid w:val="008A07BB"/>
    <w:rsid w:val="008A1336"/>
    <w:rsid w:val="008A1590"/>
    <w:rsid w:val="008A2631"/>
    <w:rsid w:val="008A26F4"/>
    <w:rsid w:val="008A2D78"/>
    <w:rsid w:val="008A33B8"/>
    <w:rsid w:val="008A376A"/>
    <w:rsid w:val="008A37BE"/>
    <w:rsid w:val="008A39E3"/>
    <w:rsid w:val="008A3A25"/>
    <w:rsid w:val="008A49B6"/>
    <w:rsid w:val="008A502C"/>
    <w:rsid w:val="008A67C7"/>
    <w:rsid w:val="008A7317"/>
    <w:rsid w:val="008B054D"/>
    <w:rsid w:val="008B0785"/>
    <w:rsid w:val="008B10CA"/>
    <w:rsid w:val="008B10D9"/>
    <w:rsid w:val="008B1ED5"/>
    <w:rsid w:val="008B2019"/>
    <w:rsid w:val="008B2B66"/>
    <w:rsid w:val="008B33A6"/>
    <w:rsid w:val="008B3F12"/>
    <w:rsid w:val="008B3F1B"/>
    <w:rsid w:val="008B4B04"/>
    <w:rsid w:val="008B4B63"/>
    <w:rsid w:val="008B4EA0"/>
    <w:rsid w:val="008B63D9"/>
    <w:rsid w:val="008B6B47"/>
    <w:rsid w:val="008B707A"/>
    <w:rsid w:val="008B74C6"/>
    <w:rsid w:val="008B7825"/>
    <w:rsid w:val="008C0B58"/>
    <w:rsid w:val="008C28F9"/>
    <w:rsid w:val="008C2AF7"/>
    <w:rsid w:val="008C3813"/>
    <w:rsid w:val="008C383D"/>
    <w:rsid w:val="008C3C68"/>
    <w:rsid w:val="008C3D49"/>
    <w:rsid w:val="008C5040"/>
    <w:rsid w:val="008C59EE"/>
    <w:rsid w:val="008C5AC6"/>
    <w:rsid w:val="008C6077"/>
    <w:rsid w:val="008C73FF"/>
    <w:rsid w:val="008C75F2"/>
    <w:rsid w:val="008C7978"/>
    <w:rsid w:val="008C7BFF"/>
    <w:rsid w:val="008D0075"/>
    <w:rsid w:val="008D072F"/>
    <w:rsid w:val="008D0BA0"/>
    <w:rsid w:val="008D18F7"/>
    <w:rsid w:val="008D1EAF"/>
    <w:rsid w:val="008D2072"/>
    <w:rsid w:val="008D223E"/>
    <w:rsid w:val="008D25B6"/>
    <w:rsid w:val="008D3198"/>
    <w:rsid w:val="008D4563"/>
    <w:rsid w:val="008D5754"/>
    <w:rsid w:val="008D57B4"/>
    <w:rsid w:val="008D5D64"/>
    <w:rsid w:val="008D6077"/>
    <w:rsid w:val="008D66B9"/>
    <w:rsid w:val="008D6AB7"/>
    <w:rsid w:val="008D6EED"/>
    <w:rsid w:val="008D7649"/>
    <w:rsid w:val="008D7BC9"/>
    <w:rsid w:val="008D7D82"/>
    <w:rsid w:val="008D7DE2"/>
    <w:rsid w:val="008E036A"/>
    <w:rsid w:val="008E0F48"/>
    <w:rsid w:val="008E14EE"/>
    <w:rsid w:val="008E1516"/>
    <w:rsid w:val="008E19AA"/>
    <w:rsid w:val="008E2EB5"/>
    <w:rsid w:val="008E3104"/>
    <w:rsid w:val="008E3C92"/>
    <w:rsid w:val="008E3EB1"/>
    <w:rsid w:val="008E3EF9"/>
    <w:rsid w:val="008E4119"/>
    <w:rsid w:val="008E47B1"/>
    <w:rsid w:val="008E5353"/>
    <w:rsid w:val="008E5AF4"/>
    <w:rsid w:val="008E5C1C"/>
    <w:rsid w:val="008E5FC1"/>
    <w:rsid w:val="008E63EC"/>
    <w:rsid w:val="008E6B66"/>
    <w:rsid w:val="008E6E9B"/>
    <w:rsid w:val="008E7131"/>
    <w:rsid w:val="008E72AE"/>
    <w:rsid w:val="008E75FC"/>
    <w:rsid w:val="008E790D"/>
    <w:rsid w:val="008F042A"/>
    <w:rsid w:val="008F0433"/>
    <w:rsid w:val="008F0C02"/>
    <w:rsid w:val="008F18E5"/>
    <w:rsid w:val="008F1BEC"/>
    <w:rsid w:val="008F2B9A"/>
    <w:rsid w:val="008F2BB6"/>
    <w:rsid w:val="008F2CD7"/>
    <w:rsid w:val="008F2FD2"/>
    <w:rsid w:val="008F37ED"/>
    <w:rsid w:val="008F41B4"/>
    <w:rsid w:val="008F4E28"/>
    <w:rsid w:val="008F50C0"/>
    <w:rsid w:val="008F52A3"/>
    <w:rsid w:val="008F5698"/>
    <w:rsid w:val="008F598A"/>
    <w:rsid w:val="008F5CF9"/>
    <w:rsid w:val="008F5D81"/>
    <w:rsid w:val="008F6358"/>
    <w:rsid w:val="008F7445"/>
    <w:rsid w:val="0090037B"/>
    <w:rsid w:val="00900766"/>
    <w:rsid w:val="009014E6"/>
    <w:rsid w:val="009015BF"/>
    <w:rsid w:val="009022C8"/>
    <w:rsid w:val="009028C7"/>
    <w:rsid w:val="00903017"/>
    <w:rsid w:val="009030A8"/>
    <w:rsid w:val="009045D9"/>
    <w:rsid w:val="00904A96"/>
    <w:rsid w:val="00905731"/>
    <w:rsid w:val="00905CD3"/>
    <w:rsid w:val="00906273"/>
    <w:rsid w:val="00906F57"/>
    <w:rsid w:val="00907287"/>
    <w:rsid w:val="00910DA9"/>
    <w:rsid w:val="009116CD"/>
    <w:rsid w:val="00911859"/>
    <w:rsid w:val="009120A0"/>
    <w:rsid w:val="00912DE4"/>
    <w:rsid w:val="00913049"/>
    <w:rsid w:val="0091328C"/>
    <w:rsid w:val="009134D0"/>
    <w:rsid w:val="009136EB"/>
    <w:rsid w:val="0091410C"/>
    <w:rsid w:val="009141E6"/>
    <w:rsid w:val="00914382"/>
    <w:rsid w:val="009151FF"/>
    <w:rsid w:val="0091559E"/>
    <w:rsid w:val="00915E9C"/>
    <w:rsid w:val="0091615E"/>
    <w:rsid w:val="00916502"/>
    <w:rsid w:val="00916D23"/>
    <w:rsid w:val="00916D98"/>
    <w:rsid w:val="009171E9"/>
    <w:rsid w:val="00917A51"/>
    <w:rsid w:val="00920653"/>
    <w:rsid w:val="00920C10"/>
    <w:rsid w:val="0092148B"/>
    <w:rsid w:val="00921C72"/>
    <w:rsid w:val="0092223A"/>
    <w:rsid w:val="009225AD"/>
    <w:rsid w:val="00922924"/>
    <w:rsid w:val="00922D68"/>
    <w:rsid w:val="00923C53"/>
    <w:rsid w:val="00924183"/>
    <w:rsid w:val="00924691"/>
    <w:rsid w:val="0092510D"/>
    <w:rsid w:val="009254F2"/>
    <w:rsid w:val="0092668B"/>
    <w:rsid w:val="00926B00"/>
    <w:rsid w:val="00926D85"/>
    <w:rsid w:val="0092726E"/>
    <w:rsid w:val="00927419"/>
    <w:rsid w:val="00927523"/>
    <w:rsid w:val="009303B8"/>
    <w:rsid w:val="00930ACB"/>
    <w:rsid w:val="009312EB"/>
    <w:rsid w:val="0093164F"/>
    <w:rsid w:val="009319E6"/>
    <w:rsid w:val="00931C56"/>
    <w:rsid w:val="00932229"/>
    <w:rsid w:val="0093236C"/>
    <w:rsid w:val="00932B18"/>
    <w:rsid w:val="00932E05"/>
    <w:rsid w:val="00932FFB"/>
    <w:rsid w:val="009336D0"/>
    <w:rsid w:val="00933728"/>
    <w:rsid w:val="0093382D"/>
    <w:rsid w:val="00933A2A"/>
    <w:rsid w:val="009344F6"/>
    <w:rsid w:val="00934522"/>
    <w:rsid w:val="00934E9F"/>
    <w:rsid w:val="009359D9"/>
    <w:rsid w:val="0093604D"/>
    <w:rsid w:val="0093710E"/>
    <w:rsid w:val="00937CA2"/>
    <w:rsid w:val="00940190"/>
    <w:rsid w:val="00940EAF"/>
    <w:rsid w:val="0094168E"/>
    <w:rsid w:val="00941A10"/>
    <w:rsid w:val="00941A51"/>
    <w:rsid w:val="00941D86"/>
    <w:rsid w:val="00941E85"/>
    <w:rsid w:val="00942234"/>
    <w:rsid w:val="00942B7B"/>
    <w:rsid w:val="00943786"/>
    <w:rsid w:val="009444A0"/>
    <w:rsid w:val="0094452C"/>
    <w:rsid w:val="009456CD"/>
    <w:rsid w:val="00945C6C"/>
    <w:rsid w:val="00945E00"/>
    <w:rsid w:val="00947A3A"/>
    <w:rsid w:val="00947BD7"/>
    <w:rsid w:val="00950783"/>
    <w:rsid w:val="0095087B"/>
    <w:rsid w:val="009509E1"/>
    <w:rsid w:val="009511AD"/>
    <w:rsid w:val="00951ABF"/>
    <w:rsid w:val="00951EA6"/>
    <w:rsid w:val="009521B7"/>
    <w:rsid w:val="009522D1"/>
    <w:rsid w:val="00952EAC"/>
    <w:rsid w:val="00952F0D"/>
    <w:rsid w:val="00952F1C"/>
    <w:rsid w:val="00953057"/>
    <w:rsid w:val="00953162"/>
    <w:rsid w:val="009531B1"/>
    <w:rsid w:val="00953733"/>
    <w:rsid w:val="00953B33"/>
    <w:rsid w:val="00953E5E"/>
    <w:rsid w:val="00954036"/>
    <w:rsid w:val="0095432E"/>
    <w:rsid w:val="00955A08"/>
    <w:rsid w:val="00955C03"/>
    <w:rsid w:val="00956836"/>
    <w:rsid w:val="0095689A"/>
    <w:rsid w:val="009568AE"/>
    <w:rsid w:val="009569F2"/>
    <w:rsid w:val="00956AA7"/>
    <w:rsid w:val="0095773F"/>
    <w:rsid w:val="00957D20"/>
    <w:rsid w:val="009601E6"/>
    <w:rsid w:val="009603AF"/>
    <w:rsid w:val="009604AC"/>
    <w:rsid w:val="009609A9"/>
    <w:rsid w:val="00960D79"/>
    <w:rsid w:val="00960F45"/>
    <w:rsid w:val="00961094"/>
    <w:rsid w:val="00961630"/>
    <w:rsid w:val="0096213B"/>
    <w:rsid w:val="009629D6"/>
    <w:rsid w:val="00962E0E"/>
    <w:rsid w:val="009635D5"/>
    <w:rsid w:val="009639D7"/>
    <w:rsid w:val="00964692"/>
    <w:rsid w:val="00964831"/>
    <w:rsid w:val="00964CD9"/>
    <w:rsid w:val="0096544B"/>
    <w:rsid w:val="00965896"/>
    <w:rsid w:val="00966A0A"/>
    <w:rsid w:val="00966AA0"/>
    <w:rsid w:val="00966C06"/>
    <w:rsid w:val="00966E65"/>
    <w:rsid w:val="0096729F"/>
    <w:rsid w:val="009672C6"/>
    <w:rsid w:val="00967DB8"/>
    <w:rsid w:val="00967E93"/>
    <w:rsid w:val="00970484"/>
    <w:rsid w:val="0097071C"/>
    <w:rsid w:val="00970C2A"/>
    <w:rsid w:val="009725F3"/>
    <w:rsid w:val="009731CB"/>
    <w:rsid w:val="009736A2"/>
    <w:rsid w:val="00975161"/>
    <w:rsid w:val="009758E0"/>
    <w:rsid w:val="0097632C"/>
    <w:rsid w:val="009764AA"/>
    <w:rsid w:val="00976EDA"/>
    <w:rsid w:val="0097773B"/>
    <w:rsid w:val="009777ED"/>
    <w:rsid w:val="00980AAA"/>
    <w:rsid w:val="00980F37"/>
    <w:rsid w:val="00980FB2"/>
    <w:rsid w:val="00981E33"/>
    <w:rsid w:val="00982417"/>
    <w:rsid w:val="009824D5"/>
    <w:rsid w:val="009827C3"/>
    <w:rsid w:val="00982B01"/>
    <w:rsid w:val="0098342E"/>
    <w:rsid w:val="00983A5D"/>
    <w:rsid w:val="0098444D"/>
    <w:rsid w:val="009851A1"/>
    <w:rsid w:val="0098557C"/>
    <w:rsid w:val="00986354"/>
    <w:rsid w:val="00986837"/>
    <w:rsid w:val="009869AF"/>
    <w:rsid w:val="0098780C"/>
    <w:rsid w:val="00990211"/>
    <w:rsid w:val="0099092A"/>
    <w:rsid w:val="00990E13"/>
    <w:rsid w:val="00991F5D"/>
    <w:rsid w:val="00992979"/>
    <w:rsid w:val="00992EA3"/>
    <w:rsid w:val="00993C31"/>
    <w:rsid w:val="00993E99"/>
    <w:rsid w:val="00994389"/>
    <w:rsid w:val="009948D7"/>
    <w:rsid w:val="009955FD"/>
    <w:rsid w:val="00995DD3"/>
    <w:rsid w:val="00995FEC"/>
    <w:rsid w:val="009979E4"/>
    <w:rsid w:val="009A0EB0"/>
    <w:rsid w:val="009A1E12"/>
    <w:rsid w:val="009A2251"/>
    <w:rsid w:val="009A2D40"/>
    <w:rsid w:val="009A3623"/>
    <w:rsid w:val="009A36F2"/>
    <w:rsid w:val="009A3F53"/>
    <w:rsid w:val="009A4770"/>
    <w:rsid w:val="009A4EE1"/>
    <w:rsid w:val="009A55AE"/>
    <w:rsid w:val="009A5612"/>
    <w:rsid w:val="009A59F4"/>
    <w:rsid w:val="009A617C"/>
    <w:rsid w:val="009A63FC"/>
    <w:rsid w:val="009A6C08"/>
    <w:rsid w:val="009A6C15"/>
    <w:rsid w:val="009A6F1C"/>
    <w:rsid w:val="009A771A"/>
    <w:rsid w:val="009B03AC"/>
    <w:rsid w:val="009B29F5"/>
    <w:rsid w:val="009B2BEB"/>
    <w:rsid w:val="009B2E94"/>
    <w:rsid w:val="009B3167"/>
    <w:rsid w:val="009B3326"/>
    <w:rsid w:val="009B34A8"/>
    <w:rsid w:val="009B4B67"/>
    <w:rsid w:val="009B5096"/>
    <w:rsid w:val="009B52CA"/>
    <w:rsid w:val="009B5575"/>
    <w:rsid w:val="009B5700"/>
    <w:rsid w:val="009B6300"/>
    <w:rsid w:val="009B6A48"/>
    <w:rsid w:val="009B6C9A"/>
    <w:rsid w:val="009B7073"/>
    <w:rsid w:val="009B711E"/>
    <w:rsid w:val="009B7422"/>
    <w:rsid w:val="009B7EA1"/>
    <w:rsid w:val="009B7FAB"/>
    <w:rsid w:val="009C0CAC"/>
    <w:rsid w:val="009C0E67"/>
    <w:rsid w:val="009C0EF6"/>
    <w:rsid w:val="009C14B1"/>
    <w:rsid w:val="009C1F8E"/>
    <w:rsid w:val="009C3114"/>
    <w:rsid w:val="009C31DF"/>
    <w:rsid w:val="009C3773"/>
    <w:rsid w:val="009C3AC8"/>
    <w:rsid w:val="009C3E2D"/>
    <w:rsid w:val="009C51AE"/>
    <w:rsid w:val="009C545E"/>
    <w:rsid w:val="009C59D7"/>
    <w:rsid w:val="009C6171"/>
    <w:rsid w:val="009C62F5"/>
    <w:rsid w:val="009C6C2F"/>
    <w:rsid w:val="009C73FF"/>
    <w:rsid w:val="009C7421"/>
    <w:rsid w:val="009C7953"/>
    <w:rsid w:val="009D05E6"/>
    <w:rsid w:val="009D241F"/>
    <w:rsid w:val="009D2A98"/>
    <w:rsid w:val="009D439A"/>
    <w:rsid w:val="009D4C0F"/>
    <w:rsid w:val="009D526D"/>
    <w:rsid w:val="009D5DBC"/>
    <w:rsid w:val="009D5DD8"/>
    <w:rsid w:val="009D60B6"/>
    <w:rsid w:val="009D61DF"/>
    <w:rsid w:val="009D6635"/>
    <w:rsid w:val="009D67A2"/>
    <w:rsid w:val="009D67E2"/>
    <w:rsid w:val="009D6FD5"/>
    <w:rsid w:val="009D70F6"/>
    <w:rsid w:val="009D71A8"/>
    <w:rsid w:val="009E08C3"/>
    <w:rsid w:val="009E18FC"/>
    <w:rsid w:val="009E2455"/>
    <w:rsid w:val="009E2995"/>
    <w:rsid w:val="009E2D8B"/>
    <w:rsid w:val="009E4FFF"/>
    <w:rsid w:val="009E52C7"/>
    <w:rsid w:val="009E5D21"/>
    <w:rsid w:val="009E661D"/>
    <w:rsid w:val="009E7F03"/>
    <w:rsid w:val="009E7FEB"/>
    <w:rsid w:val="009F0CB7"/>
    <w:rsid w:val="009F0CCE"/>
    <w:rsid w:val="009F2DD4"/>
    <w:rsid w:val="009F2FF4"/>
    <w:rsid w:val="009F32AF"/>
    <w:rsid w:val="009F39EA"/>
    <w:rsid w:val="009F3BAF"/>
    <w:rsid w:val="009F3D8F"/>
    <w:rsid w:val="009F3E12"/>
    <w:rsid w:val="009F4C9F"/>
    <w:rsid w:val="009F5053"/>
    <w:rsid w:val="009F5764"/>
    <w:rsid w:val="009F59A0"/>
    <w:rsid w:val="009F6AF8"/>
    <w:rsid w:val="009F6BD0"/>
    <w:rsid w:val="009F6FAB"/>
    <w:rsid w:val="009F72B6"/>
    <w:rsid w:val="009F7FD9"/>
    <w:rsid w:val="00A00723"/>
    <w:rsid w:val="00A007C6"/>
    <w:rsid w:val="00A014B4"/>
    <w:rsid w:val="00A01960"/>
    <w:rsid w:val="00A01B33"/>
    <w:rsid w:val="00A02ACD"/>
    <w:rsid w:val="00A02C04"/>
    <w:rsid w:val="00A02FA4"/>
    <w:rsid w:val="00A05559"/>
    <w:rsid w:val="00A0565F"/>
    <w:rsid w:val="00A06BDE"/>
    <w:rsid w:val="00A06D7A"/>
    <w:rsid w:val="00A10063"/>
    <w:rsid w:val="00A1017A"/>
    <w:rsid w:val="00A107EE"/>
    <w:rsid w:val="00A11131"/>
    <w:rsid w:val="00A1297E"/>
    <w:rsid w:val="00A13244"/>
    <w:rsid w:val="00A15C9E"/>
    <w:rsid w:val="00A15D02"/>
    <w:rsid w:val="00A1763C"/>
    <w:rsid w:val="00A203C4"/>
    <w:rsid w:val="00A204C9"/>
    <w:rsid w:val="00A20B10"/>
    <w:rsid w:val="00A2102B"/>
    <w:rsid w:val="00A213EB"/>
    <w:rsid w:val="00A21A61"/>
    <w:rsid w:val="00A21DB4"/>
    <w:rsid w:val="00A21F8C"/>
    <w:rsid w:val="00A221DD"/>
    <w:rsid w:val="00A2255B"/>
    <w:rsid w:val="00A22970"/>
    <w:rsid w:val="00A22FCB"/>
    <w:rsid w:val="00A23295"/>
    <w:rsid w:val="00A24349"/>
    <w:rsid w:val="00A254FD"/>
    <w:rsid w:val="00A2765F"/>
    <w:rsid w:val="00A27A48"/>
    <w:rsid w:val="00A30201"/>
    <w:rsid w:val="00A303A0"/>
    <w:rsid w:val="00A308DD"/>
    <w:rsid w:val="00A31127"/>
    <w:rsid w:val="00A31D3D"/>
    <w:rsid w:val="00A329CF"/>
    <w:rsid w:val="00A32F57"/>
    <w:rsid w:val="00A33004"/>
    <w:rsid w:val="00A33487"/>
    <w:rsid w:val="00A334C3"/>
    <w:rsid w:val="00A33755"/>
    <w:rsid w:val="00A33CE7"/>
    <w:rsid w:val="00A33CF6"/>
    <w:rsid w:val="00A33FE5"/>
    <w:rsid w:val="00A34E7F"/>
    <w:rsid w:val="00A35799"/>
    <w:rsid w:val="00A35E98"/>
    <w:rsid w:val="00A4004A"/>
    <w:rsid w:val="00A404DF"/>
    <w:rsid w:val="00A40AFF"/>
    <w:rsid w:val="00A40EFF"/>
    <w:rsid w:val="00A413C4"/>
    <w:rsid w:val="00A41510"/>
    <w:rsid w:val="00A418C6"/>
    <w:rsid w:val="00A41AD4"/>
    <w:rsid w:val="00A41EFC"/>
    <w:rsid w:val="00A42678"/>
    <w:rsid w:val="00A42C23"/>
    <w:rsid w:val="00A42C41"/>
    <w:rsid w:val="00A42CE3"/>
    <w:rsid w:val="00A43399"/>
    <w:rsid w:val="00A43DE1"/>
    <w:rsid w:val="00A440F3"/>
    <w:rsid w:val="00A4540D"/>
    <w:rsid w:val="00A45FE9"/>
    <w:rsid w:val="00A46238"/>
    <w:rsid w:val="00A46F5C"/>
    <w:rsid w:val="00A4723C"/>
    <w:rsid w:val="00A50273"/>
    <w:rsid w:val="00A50D9E"/>
    <w:rsid w:val="00A51A8C"/>
    <w:rsid w:val="00A51CE6"/>
    <w:rsid w:val="00A527A3"/>
    <w:rsid w:val="00A52911"/>
    <w:rsid w:val="00A52988"/>
    <w:rsid w:val="00A53382"/>
    <w:rsid w:val="00A53529"/>
    <w:rsid w:val="00A535B3"/>
    <w:rsid w:val="00A53DCE"/>
    <w:rsid w:val="00A54816"/>
    <w:rsid w:val="00A559E6"/>
    <w:rsid w:val="00A56642"/>
    <w:rsid w:val="00A56CB0"/>
    <w:rsid w:val="00A5792D"/>
    <w:rsid w:val="00A57A1E"/>
    <w:rsid w:val="00A57C22"/>
    <w:rsid w:val="00A60785"/>
    <w:rsid w:val="00A60FFB"/>
    <w:rsid w:val="00A61824"/>
    <w:rsid w:val="00A619F3"/>
    <w:rsid w:val="00A622CF"/>
    <w:rsid w:val="00A62A5E"/>
    <w:rsid w:val="00A62B1B"/>
    <w:rsid w:val="00A648EB"/>
    <w:rsid w:val="00A64C33"/>
    <w:rsid w:val="00A652FD"/>
    <w:rsid w:val="00A65631"/>
    <w:rsid w:val="00A6567E"/>
    <w:rsid w:val="00A65C83"/>
    <w:rsid w:val="00A66AFF"/>
    <w:rsid w:val="00A66E30"/>
    <w:rsid w:val="00A67AF2"/>
    <w:rsid w:val="00A7108E"/>
    <w:rsid w:val="00A71C51"/>
    <w:rsid w:val="00A72F26"/>
    <w:rsid w:val="00A73204"/>
    <w:rsid w:val="00A73C19"/>
    <w:rsid w:val="00A73E93"/>
    <w:rsid w:val="00A74088"/>
    <w:rsid w:val="00A74409"/>
    <w:rsid w:val="00A7466E"/>
    <w:rsid w:val="00A7468A"/>
    <w:rsid w:val="00A75387"/>
    <w:rsid w:val="00A7594A"/>
    <w:rsid w:val="00A7685E"/>
    <w:rsid w:val="00A771D3"/>
    <w:rsid w:val="00A77355"/>
    <w:rsid w:val="00A77750"/>
    <w:rsid w:val="00A77CC1"/>
    <w:rsid w:val="00A77D60"/>
    <w:rsid w:val="00A77E8C"/>
    <w:rsid w:val="00A80B6F"/>
    <w:rsid w:val="00A81DAA"/>
    <w:rsid w:val="00A8201A"/>
    <w:rsid w:val="00A82594"/>
    <w:rsid w:val="00A83DF3"/>
    <w:rsid w:val="00A84924"/>
    <w:rsid w:val="00A84A1B"/>
    <w:rsid w:val="00A84A84"/>
    <w:rsid w:val="00A84AE9"/>
    <w:rsid w:val="00A84E88"/>
    <w:rsid w:val="00A85A03"/>
    <w:rsid w:val="00A86556"/>
    <w:rsid w:val="00A865E5"/>
    <w:rsid w:val="00A86F6D"/>
    <w:rsid w:val="00A870FE"/>
    <w:rsid w:val="00A90E4B"/>
    <w:rsid w:val="00A92173"/>
    <w:rsid w:val="00A92442"/>
    <w:rsid w:val="00A92752"/>
    <w:rsid w:val="00A9280D"/>
    <w:rsid w:val="00A93E3E"/>
    <w:rsid w:val="00A94CC3"/>
    <w:rsid w:val="00A94CFF"/>
    <w:rsid w:val="00A94E5B"/>
    <w:rsid w:val="00A95445"/>
    <w:rsid w:val="00A9551C"/>
    <w:rsid w:val="00A95A0B"/>
    <w:rsid w:val="00A95A71"/>
    <w:rsid w:val="00A95B12"/>
    <w:rsid w:val="00A977C6"/>
    <w:rsid w:val="00A979E9"/>
    <w:rsid w:val="00AA005B"/>
    <w:rsid w:val="00AA08E2"/>
    <w:rsid w:val="00AA09FD"/>
    <w:rsid w:val="00AA0BB4"/>
    <w:rsid w:val="00AA0CD3"/>
    <w:rsid w:val="00AA113F"/>
    <w:rsid w:val="00AA19DC"/>
    <w:rsid w:val="00AA235C"/>
    <w:rsid w:val="00AA2F62"/>
    <w:rsid w:val="00AA3898"/>
    <w:rsid w:val="00AA392F"/>
    <w:rsid w:val="00AA5AA7"/>
    <w:rsid w:val="00AA5F00"/>
    <w:rsid w:val="00AA62E2"/>
    <w:rsid w:val="00AA66E7"/>
    <w:rsid w:val="00AA6FCF"/>
    <w:rsid w:val="00AA7253"/>
    <w:rsid w:val="00AA74A5"/>
    <w:rsid w:val="00AA7CB5"/>
    <w:rsid w:val="00AA7EAE"/>
    <w:rsid w:val="00AB0442"/>
    <w:rsid w:val="00AB158E"/>
    <w:rsid w:val="00AB18F7"/>
    <w:rsid w:val="00AB1A21"/>
    <w:rsid w:val="00AB1ED5"/>
    <w:rsid w:val="00AB208F"/>
    <w:rsid w:val="00AB2580"/>
    <w:rsid w:val="00AB2B72"/>
    <w:rsid w:val="00AB2E81"/>
    <w:rsid w:val="00AB3C55"/>
    <w:rsid w:val="00AB5387"/>
    <w:rsid w:val="00AB5626"/>
    <w:rsid w:val="00AB5F3C"/>
    <w:rsid w:val="00AB5F7C"/>
    <w:rsid w:val="00AB7813"/>
    <w:rsid w:val="00AC0F05"/>
    <w:rsid w:val="00AC1880"/>
    <w:rsid w:val="00AC1E1C"/>
    <w:rsid w:val="00AC3819"/>
    <w:rsid w:val="00AC3B1C"/>
    <w:rsid w:val="00AC4666"/>
    <w:rsid w:val="00AC4952"/>
    <w:rsid w:val="00AC4B2E"/>
    <w:rsid w:val="00AC4E6D"/>
    <w:rsid w:val="00AC608D"/>
    <w:rsid w:val="00AC7399"/>
    <w:rsid w:val="00AC78B6"/>
    <w:rsid w:val="00AD0299"/>
    <w:rsid w:val="00AD0962"/>
    <w:rsid w:val="00AD1169"/>
    <w:rsid w:val="00AD19CE"/>
    <w:rsid w:val="00AD1E9E"/>
    <w:rsid w:val="00AD2AA4"/>
    <w:rsid w:val="00AD2F9B"/>
    <w:rsid w:val="00AD3AC1"/>
    <w:rsid w:val="00AD41E4"/>
    <w:rsid w:val="00AD4284"/>
    <w:rsid w:val="00AD4408"/>
    <w:rsid w:val="00AD440F"/>
    <w:rsid w:val="00AD5779"/>
    <w:rsid w:val="00AD58FE"/>
    <w:rsid w:val="00AD5AF3"/>
    <w:rsid w:val="00AD5C53"/>
    <w:rsid w:val="00AD612D"/>
    <w:rsid w:val="00AD7219"/>
    <w:rsid w:val="00AD7701"/>
    <w:rsid w:val="00AD7CD5"/>
    <w:rsid w:val="00AE07E9"/>
    <w:rsid w:val="00AE08CA"/>
    <w:rsid w:val="00AE0F1E"/>
    <w:rsid w:val="00AE1281"/>
    <w:rsid w:val="00AE1F7A"/>
    <w:rsid w:val="00AE3A66"/>
    <w:rsid w:val="00AE3D8E"/>
    <w:rsid w:val="00AE4469"/>
    <w:rsid w:val="00AE4540"/>
    <w:rsid w:val="00AE5604"/>
    <w:rsid w:val="00AE569F"/>
    <w:rsid w:val="00AE56E5"/>
    <w:rsid w:val="00AE6160"/>
    <w:rsid w:val="00AE673D"/>
    <w:rsid w:val="00AE75CC"/>
    <w:rsid w:val="00AF1B51"/>
    <w:rsid w:val="00AF1B61"/>
    <w:rsid w:val="00AF1E1F"/>
    <w:rsid w:val="00AF2860"/>
    <w:rsid w:val="00AF2A79"/>
    <w:rsid w:val="00AF3166"/>
    <w:rsid w:val="00AF41A6"/>
    <w:rsid w:val="00AF4288"/>
    <w:rsid w:val="00AF42B7"/>
    <w:rsid w:val="00AF46A2"/>
    <w:rsid w:val="00AF4749"/>
    <w:rsid w:val="00AF4DAA"/>
    <w:rsid w:val="00AF6E57"/>
    <w:rsid w:val="00AF7396"/>
    <w:rsid w:val="00AF748C"/>
    <w:rsid w:val="00B000DC"/>
    <w:rsid w:val="00B002BA"/>
    <w:rsid w:val="00B00D9C"/>
    <w:rsid w:val="00B00E1C"/>
    <w:rsid w:val="00B0113D"/>
    <w:rsid w:val="00B01306"/>
    <w:rsid w:val="00B01AC5"/>
    <w:rsid w:val="00B027D1"/>
    <w:rsid w:val="00B0297A"/>
    <w:rsid w:val="00B02C9C"/>
    <w:rsid w:val="00B03757"/>
    <w:rsid w:val="00B03B73"/>
    <w:rsid w:val="00B04B07"/>
    <w:rsid w:val="00B04D1B"/>
    <w:rsid w:val="00B0518C"/>
    <w:rsid w:val="00B05F00"/>
    <w:rsid w:val="00B05F98"/>
    <w:rsid w:val="00B06760"/>
    <w:rsid w:val="00B077C8"/>
    <w:rsid w:val="00B100F8"/>
    <w:rsid w:val="00B102FF"/>
    <w:rsid w:val="00B104DE"/>
    <w:rsid w:val="00B10A2C"/>
    <w:rsid w:val="00B10C87"/>
    <w:rsid w:val="00B10CB4"/>
    <w:rsid w:val="00B110D6"/>
    <w:rsid w:val="00B11211"/>
    <w:rsid w:val="00B124EE"/>
    <w:rsid w:val="00B12596"/>
    <w:rsid w:val="00B13217"/>
    <w:rsid w:val="00B13479"/>
    <w:rsid w:val="00B160F6"/>
    <w:rsid w:val="00B16192"/>
    <w:rsid w:val="00B1705B"/>
    <w:rsid w:val="00B17CCC"/>
    <w:rsid w:val="00B17D7F"/>
    <w:rsid w:val="00B17D8F"/>
    <w:rsid w:val="00B20B69"/>
    <w:rsid w:val="00B217ED"/>
    <w:rsid w:val="00B2189B"/>
    <w:rsid w:val="00B2275B"/>
    <w:rsid w:val="00B23123"/>
    <w:rsid w:val="00B2364B"/>
    <w:rsid w:val="00B23AED"/>
    <w:rsid w:val="00B23B79"/>
    <w:rsid w:val="00B24EC8"/>
    <w:rsid w:val="00B25292"/>
    <w:rsid w:val="00B25FA5"/>
    <w:rsid w:val="00B261B8"/>
    <w:rsid w:val="00B265D4"/>
    <w:rsid w:val="00B26623"/>
    <w:rsid w:val="00B2673A"/>
    <w:rsid w:val="00B2673C"/>
    <w:rsid w:val="00B26BB5"/>
    <w:rsid w:val="00B2718A"/>
    <w:rsid w:val="00B31FCC"/>
    <w:rsid w:val="00B3295E"/>
    <w:rsid w:val="00B33350"/>
    <w:rsid w:val="00B3364B"/>
    <w:rsid w:val="00B343B4"/>
    <w:rsid w:val="00B35C49"/>
    <w:rsid w:val="00B3722F"/>
    <w:rsid w:val="00B37837"/>
    <w:rsid w:val="00B4051A"/>
    <w:rsid w:val="00B40D3B"/>
    <w:rsid w:val="00B40E50"/>
    <w:rsid w:val="00B412A4"/>
    <w:rsid w:val="00B416DF"/>
    <w:rsid w:val="00B41BEB"/>
    <w:rsid w:val="00B41E0F"/>
    <w:rsid w:val="00B41FC1"/>
    <w:rsid w:val="00B42A45"/>
    <w:rsid w:val="00B42A98"/>
    <w:rsid w:val="00B42D28"/>
    <w:rsid w:val="00B4367A"/>
    <w:rsid w:val="00B43CCA"/>
    <w:rsid w:val="00B44E63"/>
    <w:rsid w:val="00B44EB5"/>
    <w:rsid w:val="00B45000"/>
    <w:rsid w:val="00B45A64"/>
    <w:rsid w:val="00B45EF4"/>
    <w:rsid w:val="00B50D1F"/>
    <w:rsid w:val="00B51EF6"/>
    <w:rsid w:val="00B52049"/>
    <w:rsid w:val="00B52979"/>
    <w:rsid w:val="00B52DE6"/>
    <w:rsid w:val="00B52F69"/>
    <w:rsid w:val="00B52F7B"/>
    <w:rsid w:val="00B53D15"/>
    <w:rsid w:val="00B53E71"/>
    <w:rsid w:val="00B53FC8"/>
    <w:rsid w:val="00B55E0A"/>
    <w:rsid w:val="00B561E0"/>
    <w:rsid w:val="00B566EE"/>
    <w:rsid w:val="00B57709"/>
    <w:rsid w:val="00B578F9"/>
    <w:rsid w:val="00B57CB2"/>
    <w:rsid w:val="00B61272"/>
    <w:rsid w:val="00B613B3"/>
    <w:rsid w:val="00B61676"/>
    <w:rsid w:val="00B61E0A"/>
    <w:rsid w:val="00B627A4"/>
    <w:rsid w:val="00B62F91"/>
    <w:rsid w:val="00B631DA"/>
    <w:rsid w:val="00B638F6"/>
    <w:rsid w:val="00B63A6C"/>
    <w:rsid w:val="00B642F8"/>
    <w:rsid w:val="00B65197"/>
    <w:rsid w:val="00B65BB0"/>
    <w:rsid w:val="00B65FA0"/>
    <w:rsid w:val="00B664B1"/>
    <w:rsid w:val="00B66532"/>
    <w:rsid w:val="00B66A0B"/>
    <w:rsid w:val="00B66F8F"/>
    <w:rsid w:val="00B6724E"/>
    <w:rsid w:val="00B67824"/>
    <w:rsid w:val="00B6787C"/>
    <w:rsid w:val="00B67D4E"/>
    <w:rsid w:val="00B709C9"/>
    <w:rsid w:val="00B719F5"/>
    <w:rsid w:val="00B71E05"/>
    <w:rsid w:val="00B729AC"/>
    <w:rsid w:val="00B735D2"/>
    <w:rsid w:val="00B73A9D"/>
    <w:rsid w:val="00B74527"/>
    <w:rsid w:val="00B745AE"/>
    <w:rsid w:val="00B756EF"/>
    <w:rsid w:val="00B75742"/>
    <w:rsid w:val="00B75D2B"/>
    <w:rsid w:val="00B763C9"/>
    <w:rsid w:val="00B77122"/>
    <w:rsid w:val="00B772FF"/>
    <w:rsid w:val="00B77A93"/>
    <w:rsid w:val="00B77E00"/>
    <w:rsid w:val="00B77F87"/>
    <w:rsid w:val="00B81372"/>
    <w:rsid w:val="00B82221"/>
    <w:rsid w:val="00B82298"/>
    <w:rsid w:val="00B8260B"/>
    <w:rsid w:val="00B82AC2"/>
    <w:rsid w:val="00B831C5"/>
    <w:rsid w:val="00B834BB"/>
    <w:rsid w:val="00B8397C"/>
    <w:rsid w:val="00B83C3B"/>
    <w:rsid w:val="00B84873"/>
    <w:rsid w:val="00B84FF1"/>
    <w:rsid w:val="00B8561F"/>
    <w:rsid w:val="00B867B2"/>
    <w:rsid w:val="00B86B3E"/>
    <w:rsid w:val="00B86DD4"/>
    <w:rsid w:val="00B87449"/>
    <w:rsid w:val="00B876E3"/>
    <w:rsid w:val="00B90968"/>
    <w:rsid w:val="00B9144A"/>
    <w:rsid w:val="00B91619"/>
    <w:rsid w:val="00B94BD1"/>
    <w:rsid w:val="00B94E5F"/>
    <w:rsid w:val="00B94F3C"/>
    <w:rsid w:val="00B95533"/>
    <w:rsid w:val="00B95926"/>
    <w:rsid w:val="00B95D99"/>
    <w:rsid w:val="00B96155"/>
    <w:rsid w:val="00B96382"/>
    <w:rsid w:val="00B963CB"/>
    <w:rsid w:val="00B96DB1"/>
    <w:rsid w:val="00B97495"/>
    <w:rsid w:val="00B97D42"/>
    <w:rsid w:val="00B97D57"/>
    <w:rsid w:val="00BA0A24"/>
    <w:rsid w:val="00BA0D74"/>
    <w:rsid w:val="00BA0DB7"/>
    <w:rsid w:val="00BA1155"/>
    <w:rsid w:val="00BA14D8"/>
    <w:rsid w:val="00BA194E"/>
    <w:rsid w:val="00BA2440"/>
    <w:rsid w:val="00BA2933"/>
    <w:rsid w:val="00BA2BB8"/>
    <w:rsid w:val="00BA2D7A"/>
    <w:rsid w:val="00BA31E7"/>
    <w:rsid w:val="00BA3C6C"/>
    <w:rsid w:val="00BA3E58"/>
    <w:rsid w:val="00BA3F59"/>
    <w:rsid w:val="00BA4164"/>
    <w:rsid w:val="00BA4421"/>
    <w:rsid w:val="00BA44F6"/>
    <w:rsid w:val="00BA55AC"/>
    <w:rsid w:val="00BA5DF0"/>
    <w:rsid w:val="00BA5E1C"/>
    <w:rsid w:val="00BA67DF"/>
    <w:rsid w:val="00BA68DB"/>
    <w:rsid w:val="00BA6E90"/>
    <w:rsid w:val="00BA6FB9"/>
    <w:rsid w:val="00BA70E2"/>
    <w:rsid w:val="00BA711B"/>
    <w:rsid w:val="00BA7990"/>
    <w:rsid w:val="00BB0D2C"/>
    <w:rsid w:val="00BB1D4E"/>
    <w:rsid w:val="00BB3057"/>
    <w:rsid w:val="00BB35E2"/>
    <w:rsid w:val="00BB3B5B"/>
    <w:rsid w:val="00BB427C"/>
    <w:rsid w:val="00BB45AB"/>
    <w:rsid w:val="00BB4D08"/>
    <w:rsid w:val="00BB6F9A"/>
    <w:rsid w:val="00BB757F"/>
    <w:rsid w:val="00BC118F"/>
    <w:rsid w:val="00BC17E6"/>
    <w:rsid w:val="00BC1995"/>
    <w:rsid w:val="00BC2000"/>
    <w:rsid w:val="00BC235A"/>
    <w:rsid w:val="00BC4E7B"/>
    <w:rsid w:val="00BC52E7"/>
    <w:rsid w:val="00BC6A89"/>
    <w:rsid w:val="00BC6BDC"/>
    <w:rsid w:val="00BC6C68"/>
    <w:rsid w:val="00BC79FB"/>
    <w:rsid w:val="00BC7ACC"/>
    <w:rsid w:val="00BD1B32"/>
    <w:rsid w:val="00BD1DFF"/>
    <w:rsid w:val="00BD25BC"/>
    <w:rsid w:val="00BD3497"/>
    <w:rsid w:val="00BD4533"/>
    <w:rsid w:val="00BD566B"/>
    <w:rsid w:val="00BD5A34"/>
    <w:rsid w:val="00BD5AEB"/>
    <w:rsid w:val="00BD5B54"/>
    <w:rsid w:val="00BD740A"/>
    <w:rsid w:val="00BD7853"/>
    <w:rsid w:val="00BD7E5F"/>
    <w:rsid w:val="00BD7E8E"/>
    <w:rsid w:val="00BE0FF1"/>
    <w:rsid w:val="00BE1AF8"/>
    <w:rsid w:val="00BE1B0E"/>
    <w:rsid w:val="00BE1CC3"/>
    <w:rsid w:val="00BE1F12"/>
    <w:rsid w:val="00BE2944"/>
    <w:rsid w:val="00BE2DB4"/>
    <w:rsid w:val="00BE32D6"/>
    <w:rsid w:val="00BE367F"/>
    <w:rsid w:val="00BE5222"/>
    <w:rsid w:val="00BE5488"/>
    <w:rsid w:val="00BE5552"/>
    <w:rsid w:val="00BE63AE"/>
    <w:rsid w:val="00BE699E"/>
    <w:rsid w:val="00BE6EA6"/>
    <w:rsid w:val="00BE7237"/>
    <w:rsid w:val="00BE7245"/>
    <w:rsid w:val="00BE7319"/>
    <w:rsid w:val="00BE79F3"/>
    <w:rsid w:val="00BE7D2B"/>
    <w:rsid w:val="00BF0138"/>
    <w:rsid w:val="00BF03DF"/>
    <w:rsid w:val="00BF0966"/>
    <w:rsid w:val="00BF104A"/>
    <w:rsid w:val="00BF16D9"/>
    <w:rsid w:val="00BF1894"/>
    <w:rsid w:val="00BF1C70"/>
    <w:rsid w:val="00BF22D7"/>
    <w:rsid w:val="00BF2E23"/>
    <w:rsid w:val="00BF54C7"/>
    <w:rsid w:val="00BF5610"/>
    <w:rsid w:val="00BF5745"/>
    <w:rsid w:val="00BF5CC8"/>
    <w:rsid w:val="00BF5E8D"/>
    <w:rsid w:val="00BF641A"/>
    <w:rsid w:val="00BF6D80"/>
    <w:rsid w:val="00BF6DBE"/>
    <w:rsid w:val="00BF7887"/>
    <w:rsid w:val="00BF7D01"/>
    <w:rsid w:val="00C00B8D"/>
    <w:rsid w:val="00C010FA"/>
    <w:rsid w:val="00C0111C"/>
    <w:rsid w:val="00C01183"/>
    <w:rsid w:val="00C01375"/>
    <w:rsid w:val="00C01394"/>
    <w:rsid w:val="00C013DF"/>
    <w:rsid w:val="00C0145E"/>
    <w:rsid w:val="00C026CC"/>
    <w:rsid w:val="00C02DF7"/>
    <w:rsid w:val="00C03953"/>
    <w:rsid w:val="00C041F7"/>
    <w:rsid w:val="00C04427"/>
    <w:rsid w:val="00C0447D"/>
    <w:rsid w:val="00C04C2A"/>
    <w:rsid w:val="00C0593D"/>
    <w:rsid w:val="00C05B17"/>
    <w:rsid w:val="00C05BB8"/>
    <w:rsid w:val="00C05FF4"/>
    <w:rsid w:val="00C065C0"/>
    <w:rsid w:val="00C06F64"/>
    <w:rsid w:val="00C078F9"/>
    <w:rsid w:val="00C07B17"/>
    <w:rsid w:val="00C1030B"/>
    <w:rsid w:val="00C10B95"/>
    <w:rsid w:val="00C10E59"/>
    <w:rsid w:val="00C111A6"/>
    <w:rsid w:val="00C11296"/>
    <w:rsid w:val="00C114E7"/>
    <w:rsid w:val="00C11512"/>
    <w:rsid w:val="00C119CD"/>
    <w:rsid w:val="00C11BBF"/>
    <w:rsid w:val="00C11D4C"/>
    <w:rsid w:val="00C1235D"/>
    <w:rsid w:val="00C12BFB"/>
    <w:rsid w:val="00C12CED"/>
    <w:rsid w:val="00C12CFD"/>
    <w:rsid w:val="00C12E22"/>
    <w:rsid w:val="00C13049"/>
    <w:rsid w:val="00C13648"/>
    <w:rsid w:val="00C138EC"/>
    <w:rsid w:val="00C139CE"/>
    <w:rsid w:val="00C14572"/>
    <w:rsid w:val="00C14BD5"/>
    <w:rsid w:val="00C15135"/>
    <w:rsid w:val="00C1557A"/>
    <w:rsid w:val="00C1589C"/>
    <w:rsid w:val="00C15D89"/>
    <w:rsid w:val="00C168D7"/>
    <w:rsid w:val="00C2009F"/>
    <w:rsid w:val="00C21F68"/>
    <w:rsid w:val="00C221C3"/>
    <w:rsid w:val="00C2225B"/>
    <w:rsid w:val="00C22934"/>
    <w:rsid w:val="00C23306"/>
    <w:rsid w:val="00C2346B"/>
    <w:rsid w:val="00C238A2"/>
    <w:rsid w:val="00C23CB7"/>
    <w:rsid w:val="00C25209"/>
    <w:rsid w:val="00C252BE"/>
    <w:rsid w:val="00C254DA"/>
    <w:rsid w:val="00C265D2"/>
    <w:rsid w:val="00C26B0A"/>
    <w:rsid w:val="00C279A5"/>
    <w:rsid w:val="00C27E0E"/>
    <w:rsid w:val="00C3010C"/>
    <w:rsid w:val="00C309C5"/>
    <w:rsid w:val="00C30AC5"/>
    <w:rsid w:val="00C310C6"/>
    <w:rsid w:val="00C3130F"/>
    <w:rsid w:val="00C315E8"/>
    <w:rsid w:val="00C31A8C"/>
    <w:rsid w:val="00C32448"/>
    <w:rsid w:val="00C329B3"/>
    <w:rsid w:val="00C32A7D"/>
    <w:rsid w:val="00C32CB2"/>
    <w:rsid w:val="00C330F5"/>
    <w:rsid w:val="00C3348F"/>
    <w:rsid w:val="00C337AC"/>
    <w:rsid w:val="00C341CF"/>
    <w:rsid w:val="00C341ED"/>
    <w:rsid w:val="00C34279"/>
    <w:rsid w:val="00C34C0A"/>
    <w:rsid w:val="00C34C75"/>
    <w:rsid w:val="00C36FEC"/>
    <w:rsid w:val="00C375D5"/>
    <w:rsid w:val="00C37DFF"/>
    <w:rsid w:val="00C40A8C"/>
    <w:rsid w:val="00C414E3"/>
    <w:rsid w:val="00C41556"/>
    <w:rsid w:val="00C41DC6"/>
    <w:rsid w:val="00C42406"/>
    <w:rsid w:val="00C42AD1"/>
    <w:rsid w:val="00C42CE3"/>
    <w:rsid w:val="00C42D37"/>
    <w:rsid w:val="00C431D9"/>
    <w:rsid w:val="00C437D2"/>
    <w:rsid w:val="00C4393E"/>
    <w:rsid w:val="00C43CE8"/>
    <w:rsid w:val="00C43F4F"/>
    <w:rsid w:val="00C44440"/>
    <w:rsid w:val="00C44D0B"/>
    <w:rsid w:val="00C4520D"/>
    <w:rsid w:val="00C4631C"/>
    <w:rsid w:val="00C50B84"/>
    <w:rsid w:val="00C5108A"/>
    <w:rsid w:val="00C512A4"/>
    <w:rsid w:val="00C522F2"/>
    <w:rsid w:val="00C52411"/>
    <w:rsid w:val="00C5246A"/>
    <w:rsid w:val="00C52E63"/>
    <w:rsid w:val="00C53802"/>
    <w:rsid w:val="00C53D8A"/>
    <w:rsid w:val="00C54840"/>
    <w:rsid w:val="00C5561D"/>
    <w:rsid w:val="00C55AE5"/>
    <w:rsid w:val="00C56496"/>
    <w:rsid w:val="00C56FFE"/>
    <w:rsid w:val="00C5702F"/>
    <w:rsid w:val="00C577B3"/>
    <w:rsid w:val="00C57FAC"/>
    <w:rsid w:val="00C60E87"/>
    <w:rsid w:val="00C6137E"/>
    <w:rsid w:val="00C613D8"/>
    <w:rsid w:val="00C61914"/>
    <w:rsid w:val="00C61C75"/>
    <w:rsid w:val="00C6299F"/>
    <w:rsid w:val="00C62F97"/>
    <w:rsid w:val="00C659AB"/>
    <w:rsid w:val="00C65C37"/>
    <w:rsid w:val="00C65E2C"/>
    <w:rsid w:val="00C6620A"/>
    <w:rsid w:val="00C662D5"/>
    <w:rsid w:val="00C668F4"/>
    <w:rsid w:val="00C6710D"/>
    <w:rsid w:val="00C672B0"/>
    <w:rsid w:val="00C67CDA"/>
    <w:rsid w:val="00C67EEC"/>
    <w:rsid w:val="00C70EBC"/>
    <w:rsid w:val="00C7126E"/>
    <w:rsid w:val="00C712E7"/>
    <w:rsid w:val="00C71B8D"/>
    <w:rsid w:val="00C728AB"/>
    <w:rsid w:val="00C735A0"/>
    <w:rsid w:val="00C743B7"/>
    <w:rsid w:val="00C745F4"/>
    <w:rsid w:val="00C74DAA"/>
    <w:rsid w:val="00C758FF"/>
    <w:rsid w:val="00C759E7"/>
    <w:rsid w:val="00C76B49"/>
    <w:rsid w:val="00C77D09"/>
    <w:rsid w:val="00C77D5F"/>
    <w:rsid w:val="00C803F1"/>
    <w:rsid w:val="00C8098E"/>
    <w:rsid w:val="00C81073"/>
    <w:rsid w:val="00C81CEB"/>
    <w:rsid w:val="00C81ED3"/>
    <w:rsid w:val="00C82437"/>
    <w:rsid w:val="00C83E9D"/>
    <w:rsid w:val="00C83F36"/>
    <w:rsid w:val="00C84176"/>
    <w:rsid w:val="00C84671"/>
    <w:rsid w:val="00C84D60"/>
    <w:rsid w:val="00C85631"/>
    <w:rsid w:val="00C85D10"/>
    <w:rsid w:val="00C86544"/>
    <w:rsid w:val="00C8717C"/>
    <w:rsid w:val="00C8748E"/>
    <w:rsid w:val="00C877E3"/>
    <w:rsid w:val="00C879A0"/>
    <w:rsid w:val="00C90947"/>
    <w:rsid w:val="00C91937"/>
    <w:rsid w:val="00C92267"/>
    <w:rsid w:val="00C926E9"/>
    <w:rsid w:val="00C935EC"/>
    <w:rsid w:val="00C9475D"/>
    <w:rsid w:val="00C948DB"/>
    <w:rsid w:val="00C94D74"/>
    <w:rsid w:val="00C951B4"/>
    <w:rsid w:val="00C9567E"/>
    <w:rsid w:val="00C95E64"/>
    <w:rsid w:val="00C964B2"/>
    <w:rsid w:val="00C96AAD"/>
    <w:rsid w:val="00C974A6"/>
    <w:rsid w:val="00CA0ED8"/>
    <w:rsid w:val="00CA14A7"/>
    <w:rsid w:val="00CA160E"/>
    <w:rsid w:val="00CA1989"/>
    <w:rsid w:val="00CA2848"/>
    <w:rsid w:val="00CA29AB"/>
    <w:rsid w:val="00CA3345"/>
    <w:rsid w:val="00CA3E56"/>
    <w:rsid w:val="00CA3F25"/>
    <w:rsid w:val="00CA4670"/>
    <w:rsid w:val="00CA49EC"/>
    <w:rsid w:val="00CA4D85"/>
    <w:rsid w:val="00CA53C4"/>
    <w:rsid w:val="00CA54B8"/>
    <w:rsid w:val="00CA556C"/>
    <w:rsid w:val="00CA60CC"/>
    <w:rsid w:val="00CB0CEB"/>
    <w:rsid w:val="00CB10E9"/>
    <w:rsid w:val="00CB13BD"/>
    <w:rsid w:val="00CB185E"/>
    <w:rsid w:val="00CB1AEE"/>
    <w:rsid w:val="00CB1BE3"/>
    <w:rsid w:val="00CB4601"/>
    <w:rsid w:val="00CB49EA"/>
    <w:rsid w:val="00CB4B0A"/>
    <w:rsid w:val="00CB4BC2"/>
    <w:rsid w:val="00CB4E5E"/>
    <w:rsid w:val="00CB77B6"/>
    <w:rsid w:val="00CB780E"/>
    <w:rsid w:val="00CB7F33"/>
    <w:rsid w:val="00CC1BC3"/>
    <w:rsid w:val="00CC1D8F"/>
    <w:rsid w:val="00CC25DD"/>
    <w:rsid w:val="00CC2A23"/>
    <w:rsid w:val="00CC2B7E"/>
    <w:rsid w:val="00CC2E40"/>
    <w:rsid w:val="00CC3856"/>
    <w:rsid w:val="00CC3B2E"/>
    <w:rsid w:val="00CC3E3A"/>
    <w:rsid w:val="00CC3F61"/>
    <w:rsid w:val="00CC4682"/>
    <w:rsid w:val="00CC46B7"/>
    <w:rsid w:val="00CC4CD3"/>
    <w:rsid w:val="00CC536B"/>
    <w:rsid w:val="00CC554E"/>
    <w:rsid w:val="00CC5657"/>
    <w:rsid w:val="00CC5B25"/>
    <w:rsid w:val="00CC5F4E"/>
    <w:rsid w:val="00CC65AA"/>
    <w:rsid w:val="00CC6D67"/>
    <w:rsid w:val="00CC7868"/>
    <w:rsid w:val="00CC7BD5"/>
    <w:rsid w:val="00CC7CD8"/>
    <w:rsid w:val="00CD063D"/>
    <w:rsid w:val="00CD09E6"/>
    <w:rsid w:val="00CD17D9"/>
    <w:rsid w:val="00CD1876"/>
    <w:rsid w:val="00CD1A4C"/>
    <w:rsid w:val="00CD2422"/>
    <w:rsid w:val="00CD2994"/>
    <w:rsid w:val="00CD30CF"/>
    <w:rsid w:val="00CD3872"/>
    <w:rsid w:val="00CD41FB"/>
    <w:rsid w:val="00CD4BD5"/>
    <w:rsid w:val="00CD4D5D"/>
    <w:rsid w:val="00CD50AB"/>
    <w:rsid w:val="00CD5501"/>
    <w:rsid w:val="00CD58A5"/>
    <w:rsid w:val="00CD5992"/>
    <w:rsid w:val="00CD62E2"/>
    <w:rsid w:val="00CD647B"/>
    <w:rsid w:val="00CD67BF"/>
    <w:rsid w:val="00CD7290"/>
    <w:rsid w:val="00CD752F"/>
    <w:rsid w:val="00CD75FE"/>
    <w:rsid w:val="00CE080E"/>
    <w:rsid w:val="00CE0A2A"/>
    <w:rsid w:val="00CE2009"/>
    <w:rsid w:val="00CE276A"/>
    <w:rsid w:val="00CE2E7C"/>
    <w:rsid w:val="00CE30EB"/>
    <w:rsid w:val="00CE3903"/>
    <w:rsid w:val="00CE4071"/>
    <w:rsid w:val="00CE4533"/>
    <w:rsid w:val="00CE523C"/>
    <w:rsid w:val="00CE5C76"/>
    <w:rsid w:val="00CE6B00"/>
    <w:rsid w:val="00CE6C4F"/>
    <w:rsid w:val="00CE7409"/>
    <w:rsid w:val="00CE7752"/>
    <w:rsid w:val="00CE7B8A"/>
    <w:rsid w:val="00CE7F29"/>
    <w:rsid w:val="00CF0800"/>
    <w:rsid w:val="00CF0930"/>
    <w:rsid w:val="00CF0D1A"/>
    <w:rsid w:val="00CF21DA"/>
    <w:rsid w:val="00CF27A8"/>
    <w:rsid w:val="00CF2DC4"/>
    <w:rsid w:val="00CF3E2E"/>
    <w:rsid w:val="00CF42B5"/>
    <w:rsid w:val="00CF4A23"/>
    <w:rsid w:val="00CF4B21"/>
    <w:rsid w:val="00CF4E91"/>
    <w:rsid w:val="00CF52CE"/>
    <w:rsid w:val="00CF578F"/>
    <w:rsid w:val="00CF57E1"/>
    <w:rsid w:val="00CF5EEB"/>
    <w:rsid w:val="00CF637D"/>
    <w:rsid w:val="00CF6915"/>
    <w:rsid w:val="00CF6BBF"/>
    <w:rsid w:val="00CF6C3E"/>
    <w:rsid w:val="00CF6DB2"/>
    <w:rsid w:val="00CF6EC5"/>
    <w:rsid w:val="00CF6F45"/>
    <w:rsid w:val="00CF7572"/>
    <w:rsid w:val="00CF7C98"/>
    <w:rsid w:val="00D00903"/>
    <w:rsid w:val="00D00D57"/>
    <w:rsid w:val="00D0124E"/>
    <w:rsid w:val="00D0143F"/>
    <w:rsid w:val="00D030A3"/>
    <w:rsid w:val="00D030E9"/>
    <w:rsid w:val="00D031F2"/>
    <w:rsid w:val="00D033AE"/>
    <w:rsid w:val="00D03B68"/>
    <w:rsid w:val="00D03CA2"/>
    <w:rsid w:val="00D048C7"/>
    <w:rsid w:val="00D05CBE"/>
    <w:rsid w:val="00D06C63"/>
    <w:rsid w:val="00D06ECE"/>
    <w:rsid w:val="00D07168"/>
    <w:rsid w:val="00D077F9"/>
    <w:rsid w:val="00D07898"/>
    <w:rsid w:val="00D106EA"/>
    <w:rsid w:val="00D10B06"/>
    <w:rsid w:val="00D10D04"/>
    <w:rsid w:val="00D10FC5"/>
    <w:rsid w:val="00D111E1"/>
    <w:rsid w:val="00D1139E"/>
    <w:rsid w:val="00D113BA"/>
    <w:rsid w:val="00D11A61"/>
    <w:rsid w:val="00D11BE3"/>
    <w:rsid w:val="00D11FA3"/>
    <w:rsid w:val="00D12945"/>
    <w:rsid w:val="00D1294F"/>
    <w:rsid w:val="00D12AD2"/>
    <w:rsid w:val="00D12DBD"/>
    <w:rsid w:val="00D12FD2"/>
    <w:rsid w:val="00D12FEA"/>
    <w:rsid w:val="00D134CB"/>
    <w:rsid w:val="00D1361A"/>
    <w:rsid w:val="00D13685"/>
    <w:rsid w:val="00D14D0C"/>
    <w:rsid w:val="00D151FD"/>
    <w:rsid w:val="00D15621"/>
    <w:rsid w:val="00D15B29"/>
    <w:rsid w:val="00D163E8"/>
    <w:rsid w:val="00D166A5"/>
    <w:rsid w:val="00D16CD9"/>
    <w:rsid w:val="00D16CF2"/>
    <w:rsid w:val="00D17355"/>
    <w:rsid w:val="00D17E07"/>
    <w:rsid w:val="00D20731"/>
    <w:rsid w:val="00D21059"/>
    <w:rsid w:val="00D2129C"/>
    <w:rsid w:val="00D2155B"/>
    <w:rsid w:val="00D21797"/>
    <w:rsid w:val="00D2196C"/>
    <w:rsid w:val="00D22125"/>
    <w:rsid w:val="00D223A1"/>
    <w:rsid w:val="00D23AD1"/>
    <w:rsid w:val="00D23ADE"/>
    <w:rsid w:val="00D24CE2"/>
    <w:rsid w:val="00D24F4B"/>
    <w:rsid w:val="00D253B8"/>
    <w:rsid w:val="00D25748"/>
    <w:rsid w:val="00D25ABF"/>
    <w:rsid w:val="00D265AC"/>
    <w:rsid w:val="00D26915"/>
    <w:rsid w:val="00D2739F"/>
    <w:rsid w:val="00D27ECE"/>
    <w:rsid w:val="00D301BB"/>
    <w:rsid w:val="00D3118D"/>
    <w:rsid w:val="00D3127C"/>
    <w:rsid w:val="00D31393"/>
    <w:rsid w:val="00D31566"/>
    <w:rsid w:val="00D3172D"/>
    <w:rsid w:val="00D31AD5"/>
    <w:rsid w:val="00D31AD9"/>
    <w:rsid w:val="00D31D4A"/>
    <w:rsid w:val="00D323D8"/>
    <w:rsid w:val="00D327BD"/>
    <w:rsid w:val="00D32AC8"/>
    <w:rsid w:val="00D34601"/>
    <w:rsid w:val="00D3469A"/>
    <w:rsid w:val="00D350F0"/>
    <w:rsid w:val="00D352E6"/>
    <w:rsid w:val="00D363CA"/>
    <w:rsid w:val="00D36FFC"/>
    <w:rsid w:val="00D371F7"/>
    <w:rsid w:val="00D3741D"/>
    <w:rsid w:val="00D37785"/>
    <w:rsid w:val="00D37795"/>
    <w:rsid w:val="00D37AB7"/>
    <w:rsid w:val="00D37FDC"/>
    <w:rsid w:val="00D40309"/>
    <w:rsid w:val="00D4052B"/>
    <w:rsid w:val="00D40808"/>
    <w:rsid w:val="00D40CB6"/>
    <w:rsid w:val="00D40F97"/>
    <w:rsid w:val="00D4151E"/>
    <w:rsid w:val="00D417F8"/>
    <w:rsid w:val="00D418CB"/>
    <w:rsid w:val="00D41EC1"/>
    <w:rsid w:val="00D42014"/>
    <w:rsid w:val="00D4282A"/>
    <w:rsid w:val="00D42EED"/>
    <w:rsid w:val="00D43FA4"/>
    <w:rsid w:val="00D43FFD"/>
    <w:rsid w:val="00D441A7"/>
    <w:rsid w:val="00D44A98"/>
    <w:rsid w:val="00D44BD6"/>
    <w:rsid w:val="00D459CB"/>
    <w:rsid w:val="00D461B4"/>
    <w:rsid w:val="00D4631C"/>
    <w:rsid w:val="00D4635D"/>
    <w:rsid w:val="00D46B77"/>
    <w:rsid w:val="00D47C51"/>
    <w:rsid w:val="00D50A8E"/>
    <w:rsid w:val="00D51BCC"/>
    <w:rsid w:val="00D52BC4"/>
    <w:rsid w:val="00D52BFF"/>
    <w:rsid w:val="00D538C0"/>
    <w:rsid w:val="00D53DE2"/>
    <w:rsid w:val="00D55279"/>
    <w:rsid w:val="00D55786"/>
    <w:rsid w:val="00D56153"/>
    <w:rsid w:val="00D565DA"/>
    <w:rsid w:val="00D56786"/>
    <w:rsid w:val="00D56BA4"/>
    <w:rsid w:val="00D5707A"/>
    <w:rsid w:val="00D600B1"/>
    <w:rsid w:val="00D60334"/>
    <w:rsid w:val="00D60957"/>
    <w:rsid w:val="00D6110C"/>
    <w:rsid w:val="00D61147"/>
    <w:rsid w:val="00D613EE"/>
    <w:rsid w:val="00D61967"/>
    <w:rsid w:val="00D61BD2"/>
    <w:rsid w:val="00D628B3"/>
    <w:rsid w:val="00D62FF3"/>
    <w:rsid w:val="00D62FF5"/>
    <w:rsid w:val="00D63436"/>
    <w:rsid w:val="00D636DE"/>
    <w:rsid w:val="00D63A02"/>
    <w:rsid w:val="00D63EA9"/>
    <w:rsid w:val="00D64B8B"/>
    <w:rsid w:val="00D6501C"/>
    <w:rsid w:val="00D654AE"/>
    <w:rsid w:val="00D65D90"/>
    <w:rsid w:val="00D65EF4"/>
    <w:rsid w:val="00D665E8"/>
    <w:rsid w:val="00D668EA"/>
    <w:rsid w:val="00D66B40"/>
    <w:rsid w:val="00D6778E"/>
    <w:rsid w:val="00D67A05"/>
    <w:rsid w:val="00D71072"/>
    <w:rsid w:val="00D71C72"/>
    <w:rsid w:val="00D737ED"/>
    <w:rsid w:val="00D73BE9"/>
    <w:rsid w:val="00D7484C"/>
    <w:rsid w:val="00D74CE3"/>
    <w:rsid w:val="00D74D5D"/>
    <w:rsid w:val="00D75058"/>
    <w:rsid w:val="00D7520C"/>
    <w:rsid w:val="00D75468"/>
    <w:rsid w:val="00D7585C"/>
    <w:rsid w:val="00D761B5"/>
    <w:rsid w:val="00D77060"/>
    <w:rsid w:val="00D77CA6"/>
    <w:rsid w:val="00D8028B"/>
    <w:rsid w:val="00D80D39"/>
    <w:rsid w:val="00D80FB6"/>
    <w:rsid w:val="00D81782"/>
    <w:rsid w:val="00D818FA"/>
    <w:rsid w:val="00D81B0D"/>
    <w:rsid w:val="00D81E08"/>
    <w:rsid w:val="00D81F51"/>
    <w:rsid w:val="00D835D6"/>
    <w:rsid w:val="00D8390A"/>
    <w:rsid w:val="00D83B33"/>
    <w:rsid w:val="00D83BEB"/>
    <w:rsid w:val="00D83CFC"/>
    <w:rsid w:val="00D845AB"/>
    <w:rsid w:val="00D84791"/>
    <w:rsid w:val="00D85686"/>
    <w:rsid w:val="00D85766"/>
    <w:rsid w:val="00D857D9"/>
    <w:rsid w:val="00D86A3C"/>
    <w:rsid w:val="00D86BC4"/>
    <w:rsid w:val="00D877EE"/>
    <w:rsid w:val="00D90123"/>
    <w:rsid w:val="00D90476"/>
    <w:rsid w:val="00D90D7F"/>
    <w:rsid w:val="00D90ED2"/>
    <w:rsid w:val="00D912E8"/>
    <w:rsid w:val="00D913EB"/>
    <w:rsid w:val="00D9158F"/>
    <w:rsid w:val="00D923EE"/>
    <w:rsid w:val="00D925DC"/>
    <w:rsid w:val="00D92695"/>
    <w:rsid w:val="00D92ACA"/>
    <w:rsid w:val="00D92FEC"/>
    <w:rsid w:val="00D94074"/>
    <w:rsid w:val="00D94B8D"/>
    <w:rsid w:val="00D94C66"/>
    <w:rsid w:val="00D96CD5"/>
    <w:rsid w:val="00D96E2F"/>
    <w:rsid w:val="00DA00D4"/>
    <w:rsid w:val="00DA0CA6"/>
    <w:rsid w:val="00DA2176"/>
    <w:rsid w:val="00DA29D1"/>
    <w:rsid w:val="00DA2A78"/>
    <w:rsid w:val="00DA2BD8"/>
    <w:rsid w:val="00DA2E23"/>
    <w:rsid w:val="00DA30BB"/>
    <w:rsid w:val="00DA352F"/>
    <w:rsid w:val="00DA3550"/>
    <w:rsid w:val="00DA3B0B"/>
    <w:rsid w:val="00DA47E1"/>
    <w:rsid w:val="00DA4946"/>
    <w:rsid w:val="00DA4C4A"/>
    <w:rsid w:val="00DA4D9C"/>
    <w:rsid w:val="00DA56E8"/>
    <w:rsid w:val="00DA59CB"/>
    <w:rsid w:val="00DA5BC4"/>
    <w:rsid w:val="00DA5CBB"/>
    <w:rsid w:val="00DA7278"/>
    <w:rsid w:val="00DA7AAD"/>
    <w:rsid w:val="00DB039C"/>
    <w:rsid w:val="00DB0442"/>
    <w:rsid w:val="00DB0978"/>
    <w:rsid w:val="00DB3275"/>
    <w:rsid w:val="00DB32FD"/>
    <w:rsid w:val="00DB3710"/>
    <w:rsid w:val="00DB4D1C"/>
    <w:rsid w:val="00DB51FF"/>
    <w:rsid w:val="00DB65AA"/>
    <w:rsid w:val="00DB6D19"/>
    <w:rsid w:val="00DB6F79"/>
    <w:rsid w:val="00DB79ED"/>
    <w:rsid w:val="00DC00C6"/>
    <w:rsid w:val="00DC0136"/>
    <w:rsid w:val="00DC136A"/>
    <w:rsid w:val="00DC2307"/>
    <w:rsid w:val="00DC2C2A"/>
    <w:rsid w:val="00DC317E"/>
    <w:rsid w:val="00DC3808"/>
    <w:rsid w:val="00DC4300"/>
    <w:rsid w:val="00DC4898"/>
    <w:rsid w:val="00DC4902"/>
    <w:rsid w:val="00DC4D95"/>
    <w:rsid w:val="00DC5096"/>
    <w:rsid w:val="00DC5343"/>
    <w:rsid w:val="00DC5E73"/>
    <w:rsid w:val="00DC628B"/>
    <w:rsid w:val="00DC6339"/>
    <w:rsid w:val="00DC6A79"/>
    <w:rsid w:val="00DC6CAA"/>
    <w:rsid w:val="00DC74BE"/>
    <w:rsid w:val="00DC7C92"/>
    <w:rsid w:val="00DC7FE8"/>
    <w:rsid w:val="00DD00CE"/>
    <w:rsid w:val="00DD05D0"/>
    <w:rsid w:val="00DD1618"/>
    <w:rsid w:val="00DD18C5"/>
    <w:rsid w:val="00DD1B74"/>
    <w:rsid w:val="00DD1F18"/>
    <w:rsid w:val="00DD2370"/>
    <w:rsid w:val="00DD291F"/>
    <w:rsid w:val="00DD2DB9"/>
    <w:rsid w:val="00DD2E95"/>
    <w:rsid w:val="00DD3C29"/>
    <w:rsid w:val="00DD44DD"/>
    <w:rsid w:val="00DD4557"/>
    <w:rsid w:val="00DD4809"/>
    <w:rsid w:val="00DD5006"/>
    <w:rsid w:val="00DD50F9"/>
    <w:rsid w:val="00DD6259"/>
    <w:rsid w:val="00DD6A9C"/>
    <w:rsid w:val="00DD7C7D"/>
    <w:rsid w:val="00DD7F34"/>
    <w:rsid w:val="00DD7F87"/>
    <w:rsid w:val="00DE04E7"/>
    <w:rsid w:val="00DE0954"/>
    <w:rsid w:val="00DE0C08"/>
    <w:rsid w:val="00DE0C96"/>
    <w:rsid w:val="00DE0C9F"/>
    <w:rsid w:val="00DE1909"/>
    <w:rsid w:val="00DE1D4A"/>
    <w:rsid w:val="00DE1E85"/>
    <w:rsid w:val="00DE2C4E"/>
    <w:rsid w:val="00DE44CE"/>
    <w:rsid w:val="00DE44DE"/>
    <w:rsid w:val="00DE4926"/>
    <w:rsid w:val="00DE4E83"/>
    <w:rsid w:val="00DE5072"/>
    <w:rsid w:val="00DE51DE"/>
    <w:rsid w:val="00DE57CF"/>
    <w:rsid w:val="00DE5C3A"/>
    <w:rsid w:val="00DE5FE1"/>
    <w:rsid w:val="00DE6596"/>
    <w:rsid w:val="00DE6F2A"/>
    <w:rsid w:val="00DE6FB7"/>
    <w:rsid w:val="00DE7EBE"/>
    <w:rsid w:val="00DF055C"/>
    <w:rsid w:val="00DF06F3"/>
    <w:rsid w:val="00DF0D1B"/>
    <w:rsid w:val="00DF0D77"/>
    <w:rsid w:val="00DF1987"/>
    <w:rsid w:val="00DF23D0"/>
    <w:rsid w:val="00DF25F9"/>
    <w:rsid w:val="00DF29F2"/>
    <w:rsid w:val="00DF3556"/>
    <w:rsid w:val="00DF3A22"/>
    <w:rsid w:val="00DF41E1"/>
    <w:rsid w:val="00DF4442"/>
    <w:rsid w:val="00DF48E7"/>
    <w:rsid w:val="00DF49DA"/>
    <w:rsid w:val="00DF4FE9"/>
    <w:rsid w:val="00DF50B7"/>
    <w:rsid w:val="00DF6B60"/>
    <w:rsid w:val="00E008F0"/>
    <w:rsid w:val="00E00C03"/>
    <w:rsid w:val="00E00E18"/>
    <w:rsid w:val="00E013CC"/>
    <w:rsid w:val="00E016FD"/>
    <w:rsid w:val="00E0251F"/>
    <w:rsid w:val="00E045BD"/>
    <w:rsid w:val="00E04850"/>
    <w:rsid w:val="00E04C1D"/>
    <w:rsid w:val="00E04DF6"/>
    <w:rsid w:val="00E05745"/>
    <w:rsid w:val="00E066C8"/>
    <w:rsid w:val="00E06815"/>
    <w:rsid w:val="00E06BD3"/>
    <w:rsid w:val="00E06D0F"/>
    <w:rsid w:val="00E07D70"/>
    <w:rsid w:val="00E1029F"/>
    <w:rsid w:val="00E10E48"/>
    <w:rsid w:val="00E11D49"/>
    <w:rsid w:val="00E12871"/>
    <w:rsid w:val="00E1291C"/>
    <w:rsid w:val="00E1318B"/>
    <w:rsid w:val="00E13510"/>
    <w:rsid w:val="00E13671"/>
    <w:rsid w:val="00E13B0E"/>
    <w:rsid w:val="00E163DF"/>
    <w:rsid w:val="00E16ED0"/>
    <w:rsid w:val="00E170ED"/>
    <w:rsid w:val="00E17DEE"/>
    <w:rsid w:val="00E20CC2"/>
    <w:rsid w:val="00E20D3B"/>
    <w:rsid w:val="00E20DD4"/>
    <w:rsid w:val="00E21330"/>
    <w:rsid w:val="00E2147D"/>
    <w:rsid w:val="00E22471"/>
    <w:rsid w:val="00E23227"/>
    <w:rsid w:val="00E23A9C"/>
    <w:rsid w:val="00E24084"/>
    <w:rsid w:val="00E24292"/>
    <w:rsid w:val="00E245F3"/>
    <w:rsid w:val="00E24C13"/>
    <w:rsid w:val="00E24C8D"/>
    <w:rsid w:val="00E24F23"/>
    <w:rsid w:val="00E27326"/>
    <w:rsid w:val="00E30488"/>
    <w:rsid w:val="00E30B8C"/>
    <w:rsid w:val="00E31417"/>
    <w:rsid w:val="00E332BE"/>
    <w:rsid w:val="00E336C0"/>
    <w:rsid w:val="00E336FF"/>
    <w:rsid w:val="00E3541C"/>
    <w:rsid w:val="00E3716D"/>
    <w:rsid w:val="00E37C87"/>
    <w:rsid w:val="00E40897"/>
    <w:rsid w:val="00E412F0"/>
    <w:rsid w:val="00E417B9"/>
    <w:rsid w:val="00E419E5"/>
    <w:rsid w:val="00E41F70"/>
    <w:rsid w:val="00E42EE8"/>
    <w:rsid w:val="00E43260"/>
    <w:rsid w:val="00E441B6"/>
    <w:rsid w:val="00E443AD"/>
    <w:rsid w:val="00E445EE"/>
    <w:rsid w:val="00E449F9"/>
    <w:rsid w:val="00E45046"/>
    <w:rsid w:val="00E45174"/>
    <w:rsid w:val="00E45FF1"/>
    <w:rsid w:val="00E474B9"/>
    <w:rsid w:val="00E47E99"/>
    <w:rsid w:val="00E50245"/>
    <w:rsid w:val="00E508B7"/>
    <w:rsid w:val="00E508C0"/>
    <w:rsid w:val="00E51A92"/>
    <w:rsid w:val="00E5229C"/>
    <w:rsid w:val="00E52521"/>
    <w:rsid w:val="00E530D5"/>
    <w:rsid w:val="00E53441"/>
    <w:rsid w:val="00E53903"/>
    <w:rsid w:val="00E53EF8"/>
    <w:rsid w:val="00E541A9"/>
    <w:rsid w:val="00E54472"/>
    <w:rsid w:val="00E55520"/>
    <w:rsid w:val="00E555BA"/>
    <w:rsid w:val="00E55D7B"/>
    <w:rsid w:val="00E55F42"/>
    <w:rsid w:val="00E56040"/>
    <w:rsid w:val="00E567D8"/>
    <w:rsid w:val="00E60252"/>
    <w:rsid w:val="00E60958"/>
    <w:rsid w:val="00E61570"/>
    <w:rsid w:val="00E619C5"/>
    <w:rsid w:val="00E6266E"/>
    <w:rsid w:val="00E62834"/>
    <w:rsid w:val="00E62F06"/>
    <w:rsid w:val="00E63C91"/>
    <w:rsid w:val="00E6460C"/>
    <w:rsid w:val="00E65B4D"/>
    <w:rsid w:val="00E65D64"/>
    <w:rsid w:val="00E667DB"/>
    <w:rsid w:val="00E670F9"/>
    <w:rsid w:val="00E672F0"/>
    <w:rsid w:val="00E67A7E"/>
    <w:rsid w:val="00E67F67"/>
    <w:rsid w:val="00E7018D"/>
    <w:rsid w:val="00E709A2"/>
    <w:rsid w:val="00E70FEC"/>
    <w:rsid w:val="00E726DC"/>
    <w:rsid w:val="00E72A0B"/>
    <w:rsid w:val="00E72BB5"/>
    <w:rsid w:val="00E72EB8"/>
    <w:rsid w:val="00E7353C"/>
    <w:rsid w:val="00E73A2E"/>
    <w:rsid w:val="00E742C0"/>
    <w:rsid w:val="00E75050"/>
    <w:rsid w:val="00E750D3"/>
    <w:rsid w:val="00E75DA3"/>
    <w:rsid w:val="00E76756"/>
    <w:rsid w:val="00E76A5C"/>
    <w:rsid w:val="00E77063"/>
    <w:rsid w:val="00E771A3"/>
    <w:rsid w:val="00E77411"/>
    <w:rsid w:val="00E77920"/>
    <w:rsid w:val="00E77D16"/>
    <w:rsid w:val="00E77F75"/>
    <w:rsid w:val="00E800C9"/>
    <w:rsid w:val="00E80C04"/>
    <w:rsid w:val="00E80DEC"/>
    <w:rsid w:val="00E81582"/>
    <w:rsid w:val="00E82FE6"/>
    <w:rsid w:val="00E83351"/>
    <w:rsid w:val="00E838E8"/>
    <w:rsid w:val="00E841C0"/>
    <w:rsid w:val="00E85225"/>
    <w:rsid w:val="00E85266"/>
    <w:rsid w:val="00E85584"/>
    <w:rsid w:val="00E86518"/>
    <w:rsid w:val="00E86B56"/>
    <w:rsid w:val="00E86CE3"/>
    <w:rsid w:val="00E86EB1"/>
    <w:rsid w:val="00E86F22"/>
    <w:rsid w:val="00E87213"/>
    <w:rsid w:val="00E8743E"/>
    <w:rsid w:val="00E87548"/>
    <w:rsid w:val="00E91DFD"/>
    <w:rsid w:val="00E9277B"/>
    <w:rsid w:val="00E92C4B"/>
    <w:rsid w:val="00E92D01"/>
    <w:rsid w:val="00E93277"/>
    <w:rsid w:val="00E9424F"/>
    <w:rsid w:val="00E94566"/>
    <w:rsid w:val="00E949DB"/>
    <w:rsid w:val="00E95144"/>
    <w:rsid w:val="00E954E9"/>
    <w:rsid w:val="00E970C8"/>
    <w:rsid w:val="00E9725D"/>
    <w:rsid w:val="00E979A3"/>
    <w:rsid w:val="00E97A68"/>
    <w:rsid w:val="00EA1898"/>
    <w:rsid w:val="00EA1ADB"/>
    <w:rsid w:val="00EA1DD0"/>
    <w:rsid w:val="00EA2129"/>
    <w:rsid w:val="00EA22C0"/>
    <w:rsid w:val="00EA2494"/>
    <w:rsid w:val="00EA2A5E"/>
    <w:rsid w:val="00EA35DF"/>
    <w:rsid w:val="00EA3966"/>
    <w:rsid w:val="00EA3B11"/>
    <w:rsid w:val="00EA4767"/>
    <w:rsid w:val="00EA4C3B"/>
    <w:rsid w:val="00EA5468"/>
    <w:rsid w:val="00EA5812"/>
    <w:rsid w:val="00EA5927"/>
    <w:rsid w:val="00EA5A3D"/>
    <w:rsid w:val="00EA61D6"/>
    <w:rsid w:val="00EA6788"/>
    <w:rsid w:val="00EB012C"/>
    <w:rsid w:val="00EB1E5E"/>
    <w:rsid w:val="00EB215F"/>
    <w:rsid w:val="00EB2DF3"/>
    <w:rsid w:val="00EB33E5"/>
    <w:rsid w:val="00EB39F5"/>
    <w:rsid w:val="00EB405D"/>
    <w:rsid w:val="00EB428A"/>
    <w:rsid w:val="00EB4331"/>
    <w:rsid w:val="00EB4D6B"/>
    <w:rsid w:val="00EB4FCB"/>
    <w:rsid w:val="00EB61A1"/>
    <w:rsid w:val="00EB7281"/>
    <w:rsid w:val="00EB7536"/>
    <w:rsid w:val="00EB7952"/>
    <w:rsid w:val="00EC0515"/>
    <w:rsid w:val="00EC0964"/>
    <w:rsid w:val="00EC0D05"/>
    <w:rsid w:val="00EC0E96"/>
    <w:rsid w:val="00EC29BC"/>
    <w:rsid w:val="00EC2B52"/>
    <w:rsid w:val="00EC2BA8"/>
    <w:rsid w:val="00EC2EDC"/>
    <w:rsid w:val="00EC36EB"/>
    <w:rsid w:val="00EC3CE4"/>
    <w:rsid w:val="00EC5194"/>
    <w:rsid w:val="00EC5A2A"/>
    <w:rsid w:val="00EC5EC1"/>
    <w:rsid w:val="00EC62FC"/>
    <w:rsid w:val="00EC6D4C"/>
    <w:rsid w:val="00EC737D"/>
    <w:rsid w:val="00EC7590"/>
    <w:rsid w:val="00EC7C09"/>
    <w:rsid w:val="00EC7D3B"/>
    <w:rsid w:val="00ED0BC0"/>
    <w:rsid w:val="00ED0D84"/>
    <w:rsid w:val="00ED0DF8"/>
    <w:rsid w:val="00ED13AD"/>
    <w:rsid w:val="00ED1776"/>
    <w:rsid w:val="00ED1BA6"/>
    <w:rsid w:val="00ED2121"/>
    <w:rsid w:val="00ED2735"/>
    <w:rsid w:val="00ED2975"/>
    <w:rsid w:val="00ED2CE0"/>
    <w:rsid w:val="00ED3016"/>
    <w:rsid w:val="00ED47E1"/>
    <w:rsid w:val="00ED48D9"/>
    <w:rsid w:val="00ED4CD3"/>
    <w:rsid w:val="00ED4D40"/>
    <w:rsid w:val="00ED50CC"/>
    <w:rsid w:val="00ED6865"/>
    <w:rsid w:val="00ED6DD5"/>
    <w:rsid w:val="00EE03EE"/>
    <w:rsid w:val="00EE0608"/>
    <w:rsid w:val="00EE0BF7"/>
    <w:rsid w:val="00EE0E48"/>
    <w:rsid w:val="00EE1533"/>
    <w:rsid w:val="00EE1C3C"/>
    <w:rsid w:val="00EE1D82"/>
    <w:rsid w:val="00EE1E37"/>
    <w:rsid w:val="00EE235E"/>
    <w:rsid w:val="00EE23CD"/>
    <w:rsid w:val="00EE2ACF"/>
    <w:rsid w:val="00EE351C"/>
    <w:rsid w:val="00EE3D5B"/>
    <w:rsid w:val="00EE3F83"/>
    <w:rsid w:val="00EE4151"/>
    <w:rsid w:val="00EE434F"/>
    <w:rsid w:val="00EE45E6"/>
    <w:rsid w:val="00EE48BE"/>
    <w:rsid w:val="00EE502A"/>
    <w:rsid w:val="00EE50A0"/>
    <w:rsid w:val="00EE50CC"/>
    <w:rsid w:val="00EE5D8E"/>
    <w:rsid w:val="00EE5F87"/>
    <w:rsid w:val="00EE63CB"/>
    <w:rsid w:val="00EE684D"/>
    <w:rsid w:val="00EE6D06"/>
    <w:rsid w:val="00EE72BB"/>
    <w:rsid w:val="00EE7556"/>
    <w:rsid w:val="00EE7AAB"/>
    <w:rsid w:val="00EE7DE6"/>
    <w:rsid w:val="00EE7F4F"/>
    <w:rsid w:val="00EF079A"/>
    <w:rsid w:val="00EF0FB8"/>
    <w:rsid w:val="00EF1A28"/>
    <w:rsid w:val="00EF1FD8"/>
    <w:rsid w:val="00EF22E1"/>
    <w:rsid w:val="00EF259B"/>
    <w:rsid w:val="00EF291E"/>
    <w:rsid w:val="00EF2C61"/>
    <w:rsid w:val="00EF336F"/>
    <w:rsid w:val="00EF3687"/>
    <w:rsid w:val="00EF3B9C"/>
    <w:rsid w:val="00EF3C26"/>
    <w:rsid w:val="00EF3CAC"/>
    <w:rsid w:val="00EF3E22"/>
    <w:rsid w:val="00EF408B"/>
    <w:rsid w:val="00EF4107"/>
    <w:rsid w:val="00EF43B6"/>
    <w:rsid w:val="00EF449A"/>
    <w:rsid w:val="00EF5E9A"/>
    <w:rsid w:val="00EF5F34"/>
    <w:rsid w:val="00EF7234"/>
    <w:rsid w:val="00EF7380"/>
    <w:rsid w:val="00F006F3"/>
    <w:rsid w:val="00F00B39"/>
    <w:rsid w:val="00F010C6"/>
    <w:rsid w:val="00F01384"/>
    <w:rsid w:val="00F0165D"/>
    <w:rsid w:val="00F017FC"/>
    <w:rsid w:val="00F028DB"/>
    <w:rsid w:val="00F02BC5"/>
    <w:rsid w:val="00F02C47"/>
    <w:rsid w:val="00F02CE4"/>
    <w:rsid w:val="00F02D08"/>
    <w:rsid w:val="00F0344C"/>
    <w:rsid w:val="00F0496B"/>
    <w:rsid w:val="00F04D7A"/>
    <w:rsid w:val="00F053B5"/>
    <w:rsid w:val="00F05456"/>
    <w:rsid w:val="00F056D9"/>
    <w:rsid w:val="00F05B02"/>
    <w:rsid w:val="00F06F4B"/>
    <w:rsid w:val="00F07842"/>
    <w:rsid w:val="00F07D99"/>
    <w:rsid w:val="00F102FB"/>
    <w:rsid w:val="00F10855"/>
    <w:rsid w:val="00F109FE"/>
    <w:rsid w:val="00F10B7E"/>
    <w:rsid w:val="00F112B2"/>
    <w:rsid w:val="00F121B8"/>
    <w:rsid w:val="00F12C42"/>
    <w:rsid w:val="00F14347"/>
    <w:rsid w:val="00F15F39"/>
    <w:rsid w:val="00F16422"/>
    <w:rsid w:val="00F16610"/>
    <w:rsid w:val="00F16734"/>
    <w:rsid w:val="00F174DE"/>
    <w:rsid w:val="00F179A3"/>
    <w:rsid w:val="00F20005"/>
    <w:rsid w:val="00F20820"/>
    <w:rsid w:val="00F20DE4"/>
    <w:rsid w:val="00F21185"/>
    <w:rsid w:val="00F21C1C"/>
    <w:rsid w:val="00F21CFB"/>
    <w:rsid w:val="00F22764"/>
    <w:rsid w:val="00F22B3E"/>
    <w:rsid w:val="00F234D7"/>
    <w:rsid w:val="00F23A7B"/>
    <w:rsid w:val="00F23C57"/>
    <w:rsid w:val="00F23CBE"/>
    <w:rsid w:val="00F24153"/>
    <w:rsid w:val="00F244D7"/>
    <w:rsid w:val="00F246A9"/>
    <w:rsid w:val="00F2474F"/>
    <w:rsid w:val="00F257B5"/>
    <w:rsid w:val="00F25934"/>
    <w:rsid w:val="00F25AF8"/>
    <w:rsid w:val="00F25BC9"/>
    <w:rsid w:val="00F261E3"/>
    <w:rsid w:val="00F26803"/>
    <w:rsid w:val="00F2697E"/>
    <w:rsid w:val="00F26B48"/>
    <w:rsid w:val="00F279F9"/>
    <w:rsid w:val="00F27B59"/>
    <w:rsid w:val="00F27E03"/>
    <w:rsid w:val="00F27F2E"/>
    <w:rsid w:val="00F30019"/>
    <w:rsid w:val="00F308C0"/>
    <w:rsid w:val="00F30925"/>
    <w:rsid w:val="00F30C44"/>
    <w:rsid w:val="00F31060"/>
    <w:rsid w:val="00F318E1"/>
    <w:rsid w:val="00F31DD2"/>
    <w:rsid w:val="00F3240F"/>
    <w:rsid w:val="00F32907"/>
    <w:rsid w:val="00F33D23"/>
    <w:rsid w:val="00F34072"/>
    <w:rsid w:val="00F34AEA"/>
    <w:rsid w:val="00F34BD7"/>
    <w:rsid w:val="00F34DF4"/>
    <w:rsid w:val="00F350DF"/>
    <w:rsid w:val="00F3667B"/>
    <w:rsid w:val="00F37397"/>
    <w:rsid w:val="00F377AB"/>
    <w:rsid w:val="00F402BF"/>
    <w:rsid w:val="00F4058A"/>
    <w:rsid w:val="00F4122B"/>
    <w:rsid w:val="00F419C6"/>
    <w:rsid w:val="00F41AC6"/>
    <w:rsid w:val="00F42A11"/>
    <w:rsid w:val="00F42A36"/>
    <w:rsid w:val="00F42A49"/>
    <w:rsid w:val="00F42C20"/>
    <w:rsid w:val="00F43419"/>
    <w:rsid w:val="00F44774"/>
    <w:rsid w:val="00F44A9D"/>
    <w:rsid w:val="00F44B2A"/>
    <w:rsid w:val="00F4527C"/>
    <w:rsid w:val="00F458FB"/>
    <w:rsid w:val="00F461A4"/>
    <w:rsid w:val="00F463CF"/>
    <w:rsid w:val="00F46862"/>
    <w:rsid w:val="00F51351"/>
    <w:rsid w:val="00F51475"/>
    <w:rsid w:val="00F51532"/>
    <w:rsid w:val="00F51576"/>
    <w:rsid w:val="00F51DBA"/>
    <w:rsid w:val="00F51E87"/>
    <w:rsid w:val="00F51EC9"/>
    <w:rsid w:val="00F52819"/>
    <w:rsid w:val="00F53098"/>
    <w:rsid w:val="00F54485"/>
    <w:rsid w:val="00F5458F"/>
    <w:rsid w:val="00F5480D"/>
    <w:rsid w:val="00F548A3"/>
    <w:rsid w:val="00F54936"/>
    <w:rsid w:val="00F54C5F"/>
    <w:rsid w:val="00F55169"/>
    <w:rsid w:val="00F55B6F"/>
    <w:rsid w:val="00F56C65"/>
    <w:rsid w:val="00F5756B"/>
    <w:rsid w:val="00F575D3"/>
    <w:rsid w:val="00F57C44"/>
    <w:rsid w:val="00F57D80"/>
    <w:rsid w:val="00F607C3"/>
    <w:rsid w:val="00F60C30"/>
    <w:rsid w:val="00F60F3C"/>
    <w:rsid w:val="00F61352"/>
    <w:rsid w:val="00F61AA6"/>
    <w:rsid w:val="00F622ED"/>
    <w:rsid w:val="00F623E9"/>
    <w:rsid w:val="00F624AA"/>
    <w:rsid w:val="00F624E6"/>
    <w:rsid w:val="00F62A68"/>
    <w:rsid w:val="00F6361A"/>
    <w:rsid w:val="00F639F8"/>
    <w:rsid w:val="00F63B07"/>
    <w:rsid w:val="00F63D51"/>
    <w:rsid w:val="00F64B4D"/>
    <w:rsid w:val="00F6556E"/>
    <w:rsid w:val="00F65884"/>
    <w:rsid w:val="00F6602A"/>
    <w:rsid w:val="00F66892"/>
    <w:rsid w:val="00F66AC4"/>
    <w:rsid w:val="00F66DF2"/>
    <w:rsid w:val="00F6748D"/>
    <w:rsid w:val="00F67C74"/>
    <w:rsid w:val="00F701C2"/>
    <w:rsid w:val="00F702F7"/>
    <w:rsid w:val="00F70529"/>
    <w:rsid w:val="00F71445"/>
    <w:rsid w:val="00F7148D"/>
    <w:rsid w:val="00F71763"/>
    <w:rsid w:val="00F72FF1"/>
    <w:rsid w:val="00F7345A"/>
    <w:rsid w:val="00F74E8D"/>
    <w:rsid w:val="00F7543A"/>
    <w:rsid w:val="00F76347"/>
    <w:rsid w:val="00F76980"/>
    <w:rsid w:val="00F77FD7"/>
    <w:rsid w:val="00F81155"/>
    <w:rsid w:val="00F81EA8"/>
    <w:rsid w:val="00F82356"/>
    <w:rsid w:val="00F827CC"/>
    <w:rsid w:val="00F82B11"/>
    <w:rsid w:val="00F82F38"/>
    <w:rsid w:val="00F83165"/>
    <w:rsid w:val="00F83EF5"/>
    <w:rsid w:val="00F83F0A"/>
    <w:rsid w:val="00F85309"/>
    <w:rsid w:val="00F85CA7"/>
    <w:rsid w:val="00F85D0C"/>
    <w:rsid w:val="00F85EC3"/>
    <w:rsid w:val="00F860F1"/>
    <w:rsid w:val="00F865C2"/>
    <w:rsid w:val="00F86A28"/>
    <w:rsid w:val="00F86A40"/>
    <w:rsid w:val="00F86A5B"/>
    <w:rsid w:val="00F86F0D"/>
    <w:rsid w:val="00F87AB0"/>
    <w:rsid w:val="00F9084B"/>
    <w:rsid w:val="00F90CA7"/>
    <w:rsid w:val="00F91588"/>
    <w:rsid w:val="00F9172A"/>
    <w:rsid w:val="00F9183E"/>
    <w:rsid w:val="00F91BC6"/>
    <w:rsid w:val="00F92B5A"/>
    <w:rsid w:val="00F92D14"/>
    <w:rsid w:val="00F92FE1"/>
    <w:rsid w:val="00F93479"/>
    <w:rsid w:val="00F93A30"/>
    <w:rsid w:val="00F94934"/>
    <w:rsid w:val="00F94BEB"/>
    <w:rsid w:val="00F9545F"/>
    <w:rsid w:val="00F9596C"/>
    <w:rsid w:val="00F95FEE"/>
    <w:rsid w:val="00F96478"/>
    <w:rsid w:val="00F965E5"/>
    <w:rsid w:val="00F967F8"/>
    <w:rsid w:val="00F96C1E"/>
    <w:rsid w:val="00F96D07"/>
    <w:rsid w:val="00F9725D"/>
    <w:rsid w:val="00F974C5"/>
    <w:rsid w:val="00FA0174"/>
    <w:rsid w:val="00FA1802"/>
    <w:rsid w:val="00FA18F1"/>
    <w:rsid w:val="00FA2046"/>
    <w:rsid w:val="00FA2F0D"/>
    <w:rsid w:val="00FA3241"/>
    <w:rsid w:val="00FA3829"/>
    <w:rsid w:val="00FA4C7E"/>
    <w:rsid w:val="00FA4DDE"/>
    <w:rsid w:val="00FA52BA"/>
    <w:rsid w:val="00FA577D"/>
    <w:rsid w:val="00FA58D7"/>
    <w:rsid w:val="00FA5C3B"/>
    <w:rsid w:val="00FA6774"/>
    <w:rsid w:val="00FA6825"/>
    <w:rsid w:val="00FA6B15"/>
    <w:rsid w:val="00FA6D42"/>
    <w:rsid w:val="00FA77D9"/>
    <w:rsid w:val="00FA797E"/>
    <w:rsid w:val="00FA79D6"/>
    <w:rsid w:val="00FB02E2"/>
    <w:rsid w:val="00FB074D"/>
    <w:rsid w:val="00FB11EC"/>
    <w:rsid w:val="00FB13E4"/>
    <w:rsid w:val="00FB1909"/>
    <w:rsid w:val="00FB19BB"/>
    <w:rsid w:val="00FB1D45"/>
    <w:rsid w:val="00FB282C"/>
    <w:rsid w:val="00FB28EE"/>
    <w:rsid w:val="00FB2D28"/>
    <w:rsid w:val="00FB3A6F"/>
    <w:rsid w:val="00FB3ECD"/>
    <w:rsid w:val="00FB42C4"/>
    <w:rsid w:val="00FB54DA"/>
    <w:rsid w:val="00FB5ACA"/>
    <w:rsid w:val="00FB6B5C"/>
    <w:rsid w:val="00FB7E27"/>
    <w:rsid w:val="00FC0AD0"/>
    <w:rsid w:val="00FC0F91"/>
    <w:rsid w:val="00FC118D"/>
    <w:rsid w:val="00FC1950"/>
    <w:rsid w:val="00FC1CA0"/>
    <w:rsid w:val="00FC2DD3"/>
    <w:rsid w:val="00FC37C3"/>
    <w:rsid w:val="00FC3803"/>
    <w:rsid w:val="00FC383E"/>
    <w:rsid w:val="00FC3D2B"/>
    <w:rsid w:val="00FC3E25"/>
    <w:rsid w:val="00FC4BBE"/>
    <w:rsid w:val="00FC4BC8"/>
    <w:rsid w:val="00FC4FD8"/>
    <w:rsid w:val="00FC58E7"/>
    <w:rsid w:val="00FC5C2B"/>
    <w:rsid w:val="00FC5EA2"/>
    <w:rsid w:val="00FC6765"/>
    <w:rsid w:val="00FC749E"/>
    <w:rsid w:val="00FC7AD0"/>
    <w:rsid w:val="00FC7AD8"/>
    <w:rsid w:val="00FC7E8E"/>
    <w:rsid w:val="00FD04A5"/>
    <w:rsid w:val="00FD04C7"/>
    <w:rsid w:val="00FD077F"/>
    <w:rsid w:val="00FD0DF2"/>
    <w:rsid w:val="00FD1130"/>
    <w:rsid w:val="00FD1675"/>
    <w:rsid w:val="00FD1C7B"/>
    <w:rsid w:val="00FD2B51"/>
    <w:rsid w:val="00FD3086"/>
    <w:rsid w:val="00FD40DF"/>
    <w:rsid w:val="00FD4E9F"/>
    <w:rsid w:val="00FD6343"/>
    <w:rsid w:val="00FD6AA1"/>
    <w:rsid w:val="00FD743A"/>
    <w:rsid w:val="00FD7539"/>
    <w:rsid w:val="00FD7902"/>
    <w:rsid w:val="00FD7B68"/>
    <w:rsid w:val="00FD7BEE"/>
    <w:rsid w:val="00FE0760"/>
    <w:rsid w:val="00FE2967"/>
    <w:rsid w:val="00FE2DA0"/>
    <w:rsid w:val="00FE3184"/>
    <w:rsid w:val="00FE5D62"/>
    <w:rsid w:val="00FE6B07"/>
    <w:rsid w:val="00FE6B97"/>
    <w:rsid w:val="00FE7289"/>
    <w:rsid w:val="00FE7B57"/>
    <w:rsid w:val="00FF0924"/>
    <w:rsid w:val="00FF0E46"/>
    <w:rsid w:val="00FF0FCE"/>
    <w:rsid w:val="00FF1628"/>
    <w:rsid w:val="00FF1717"/>
    <w:rsid w:val="00FF1755"/>
    <w:rsid w:val="00FF1CA2"/>
    <w:rsid w:val="00FF2189"/>
    <w:rsid w:val="00FF21BD"/>
    <w:rsid w:val="00FF24F6"/>
    <w:rsid w:val="00FF4D25"/>
    <w:rsid w:val="00FF56BC"/>
    <w:rsid w:val="00FF6A3A"/>
    <w:rsid w:val="00FF6F07"/>
    <w:rsid w:val="00FF7655"/>
    <w:rsid w:val="01195CAD"/>
    <w:rsid w:val="02777BFD"/>
    <w:rsid w:val="02D70BBC"/>
    <w:rsid w:val="033A3447"/>
    <w:rsid w:val="03604B36"/>
    <w:rsid w:val="03EA43FF"/>
    <w:rsid w:val="04212517"/>
    <w:rsid w:val="046A2609"/>
    <w:rsid w:val="04C35BB6"/>
    <w:rsid w:val="05812B41"/>
    <w:rsid w:val="06394017"/>
    <w:rsid w:val="06586270"/>
    <w:rsid w:val="06A42F8B"/>
    <w:rsid w:val="07043363"/>
    <w:rsid w:val="077227F5"/>
    <w:rsid w:val="08231BEF"/>
    <w:rsid w:val="083A7CC8"/>
    <w:rsid w:val="08962DA7"/>
    <w:rsid w:val="0A4F4DA1"/>
    <w:rsid w:val="0BDC13D1"/>
    <w:rsid w:val="0C50326D"/>
    <w:rsid w:val="0C554FCB"/>
    <w:rsid w:val="0D424F63"/>
    <w:rsid w:val="0D7F3E0A"/>
    <w:rsid w:val="0DC844B2"/>
    <w:rsid w:val="0E2520B0"/>
    <w:rsid w:val="0E664FCA"/>
    <w:rsid w:val="0EF435C5"/>
    <w:rsid w:val="0F0C5B71"/>
    <w:rsid w:val="0F3A5D17"/>
    <w:rsid w:val="103C4234"/>
    <w:rsid w:val="11737CC0"/>
    <w:rsid w:val="12B05511"/>
    <w:rsid w:val="133F2C82"/>
    <w:rsid w:val="1356059D"/>
    <w:rsid w:val="1413102A"/>
    <w:rsid w:val="141379A2"/>
    <w:rsid w:val="14702D3A"/>
    <w:rsid w:val="148E0471"/>
    <w:rsid w:val="14935D07"/>
    <w:rsid w:val="14C8487A"/>
    <w:rsid w:val="16923B57"/>
    <w:rsid w:val="17795D6E"/>
    <w:rsid w:val="17D22226"/>
    <w:rsid w:val="17EF6121"/>
    <w:rsid w:val="1AB23A71"/>
    <w:rsid w:val="1AC063DE"/>
    <w:rsid w:val="1AD559B1"/>
    <w:rsid w:val="1AF5395E"/>
    <w:rsid w:val="1C0C5329"/>
    <w:rsid w:val="1C8C02F2"/>
    <w:rsid w:val="1CB22960"/>
    <w:rsid w:val="1CF06FD5"/>
    <w:rsid w:val="1D0E51AB"/>
    <w:rsid w:val="1DB337A5"/>
    <w:rsid w:val="1DFA5B93"/>
    <w:rsid w:val="1E2724C8"/>
    <w:rsid w:val="1E35555F"/>
    <w:rsid w:val="1E5109CC"/>
    <w:rsid w:val="1EBE473D"/>
    <w:rsid w:val="1F2C3C0E"/>
    <w:rsid w:val="201C373B"/>
    <w:rsid w:val="205A0A0D"/>
    <w:rsid w:val="207506CD"/>
    <w:rsid w:val="20D53C01"/>
    <w:rsid w:val="21577120"/>
    <w:rsid w:val="22433200"/>
    <w:rsid w:val="2254749D"/>
    <w:rsid w:val="22844ED1"/>
    <w:rsid w:val="232B5651"/>
    <w:rsid w:val="23681054"/>
    <w:rsid w:val="24212E47"/>
    <w:rsid w:val="246758CC"/>
    <w:rsid w:val="24EF3EE5"/>
    <w:rsid w:val="24F76807"/>
    <w:rsid w:val="25971AB4"/>
    <w:rsid w:val="26215C0B"/>
    <w:rsid w:val="274A6DDF"/>
    <w:rsid w:val="276E0D2B"/>
    <w:rsid w:val="27A61EA5"/>
    <w:rsid w:val="27D37F32"/>
    <w:rsid w:val="28D35DF4"/>
    <w:rsid w:val="2976468E"/>
    <w:rsid w:val="2A56543D"/>
    <w:rsid w:val="2A7340D0"/>
    <w:rsid w:val="2AEF3F25"/>
    <w:rsid w:val="2B974D8F"/>
    <w:rsid w:val="2C1F4CDE"/>
    <w:rsid w:val="2C444745"/>
    <w:rsid w:val="2E232138"/>
    <w:rsid w:val="2E4E3407"/>
    <w:rsid w:val="2E7D3F3E"/>
    <w:rsid w:val="2EF0415C"/>
    <w:rsid w:val="2F490F62"/>
    <w:rsid w:val="2FA8162C"/>
    <w:rsid w:val="308B22B5"/>
    <w:rsid w:val="310B4A98"/>
    <w:rsid w:val="31FC33CC"/>
    <w:rsid w:val="32087FC3"/>
    <w:rsid w:val="32265FD5"/>
    <w:rsid w:val="323E597C"/>
    <w:rsid w:val="329F26D5"/>
    <w:rsid w:val="32D56359"/>
    <w:rsid w:val="33BC2E13"/>
    <w:rsid w:val="33F64577"/>
    <w:rsid w:val="345D2A1D"/>
    <w:rsid w:val="345E211C"/>
    <w:rsid w:val="34817CEF"/>
    <w:rsid w:val="348441CE"/>
    <w:rsid w:val="34880F47"/>
    <w:rsid w:val="357455F1"/>
    <w:rsid w:val="36582A9C"/>
    <w:rsid w:val="3667350A"/>
    <w:rsid w:val="36714DD5"/>
    <w:rsid w:val="36993545"/>
    <w:rsid w:val="370731F9"/>
    <w:rsid w:val="37FD09F1"/>
    <w:rsid w:val="38C761BF"/>
    <w:rsid w:val="39203E44"/>
    <w:rsid w:val="39730401"/>
    <w:rsid w:val="39CB6BCC"/>
    <w:rsid w:val="3A680AF5"/>
    <w:rsid w:val="3B0B75E8"/>
    <w:rsid w:val="3B7D37CF"/>
    <w:rsid w:val="3B857E24"/>
    <w:rsid w:val="3BCB453B"/>
    <w:rsid w:val="3C5462DE"/>
    <w:rsid w:val="3DF14E3C"/>
    <w:rsid w:val="3E5E166E"/>
    <w:rsid w:val="3EA177D5"/>
    <w:rsid w:val="3EE945C3"/>
    <w:rsid w:val="3F057D64"/>
    <w:rsid w:val="3F3C6A4D"/>
    <w:rsid w:val="3F4950AE"/>
    <w:rsid w:val="3FD140EA"/>
    <w:rsid w:val="3FE411B1"/>
    <w:rsid w:val="4015635A"/>
    <w:rsid w:val="4089760D"/>
    <w:rsid w:val="42D65F34"/>
    <w:rsid w:val="42E859D2"/>
    <w:rsid w:val="43670FED"/>
    <w:rsid w:val="44365AE6"/>
    <w:rsid w:val="449B1E09"/>
    <w:rsid w:val="44BF6C07"/>
    <w:rsid w:val="44FE1D18"/>
    <w:rsid w:val="45693886"/>
    <w:rsid w:val="460F1C96"/>
    <w:rsid w:val="465313B5"/>
    <w:rsid w:val="473F5DDD"/>
    <w:rsid w:val="479746C9"/>
    <w:rsid w:val="47B15066"/>
    <w:rsid w:val="47CA1B4A"/>
    <w:rsid w:val="48C04CFB"/>
    <w:rsid w:val="48EA3B26"/>
    <w:rsid w:val="4A613290"/>
    <w:rsid w:val="4B005883"/>
    <w:rsid w:val="4B991F60"/>
    <w:rsid w:val="4BA34B8C"/>
    <w:rsid w:val="4BB01057"/>
    <w:rsid w:val="4BEC2EE5"/>
    <w:rsid w:val="4C685FF5"/>
    <w:rsid w:val="4C6C1422"/>
    <w:rsid w:val="4CEB1255"/>
    <w:rsid w:val="4D577C4A"/>
    <w:rsid w:val="4DBA3214"/>
    <w:rsid w:val="4E173610"/>
    <w:rsid w:val="4E321D7A"/>
    <w:rsid w:val="4F7E481F"/>
    <w:rsid w:val="4F953D47"/>
    <w:rsid w:val="5026588C"/>
    <w:rsid w:val="504C2DF0"/>
    <w:rsid w:val="50A85454"/>
    <w:rsid w:val="50BE4F60"/>
    <w:rsid w:val="52BE04FE"/>
    <w:rsid w:val="53A94D0A"/>
    <w:rsid w:val="54492049"/>
    <w:rsid w:val="547D0BAA"/>
    <w:rsid w:val="54A67298"/>
    <w:rsid w:val="564407D3"/>
    <w:rsid w:val="56D3300B"/>
    <w:rsid w:val="57662666"/>
    <w:rsid w:val="578E4942"/>
    <w:rsid w:val="58807673"/>
    <w:rsid w:val="58F55A17"/>
    <w:rsid w:val="594554D5"/>
    <w:rsid w:val="59A43A02"/>
    <w:rsid w:val="5A940ED3"/>
    <w:rsid w:val="5AAA3A12"/>
    <w:rsid w:val="5AB8341A"/>
    <w:rsid w:val="5B266C40"/>
    <w:rsid w:val="5BD8454B"/>
    <w:rsid w:val="5BF840AA"/>
    <w:rsid w:val="5C2060A7"/>
    <w:rsid w:val="5C4C6B7A"/>
    <w:rsid w:val="5C741C2D"/>
    <w:rsid w:val="5EF86B7E"/>
    <w:rsid w:val="5F287C61"/>
    <w:rsid w:val="5FA82844"/>
    <w:rsid w:val="5FCC080D"/>
    <w:rsid w:val="60146F80"/>
    <w:rsid w:val="61D02ABC"/>
    <w:rsid w:val="62A40365"/>
    <w:rsid w:val="62B463CC"/>
    <w:rsid w:val="63337752"/>
    <w:rsid w:val="63972DD1"/>
    <w:rsid w:val="648D6791"/>
    <w:rsid w:val="64964E36"/>
    <w:rsid w:val="64C47E8E"/>
    <w:rsid w:val="65D10B2F"/>
    <w:rsid w:val="66B75BC4"/>
    <w:rsid w:val="671465AA"/>
    <w:rsid w:val="672229B1"/>
    <w:rsid w:val="67352362"/>
    <w:rsid w:val="67B73C13"/>
    <w:rsid w:val="685B7298"/>
    <w:rsid w:val="690040A0"/>
    <w:rsid w:val="6AA302AD"/>
    <w:rsid w:val="6ADF6E0B"/>
    <w:rsid w:val="6B0C26A0"/>
    <w:rsid w:val="6BB3168F"/>
    <w:rsid w:val="6C9F4AA4"/>
    <w:rsid w:val="6D817B44"/>
    <w:rsid w:val="6DB77BCC"/>
    <w:rsid w:val="6E4200E7"/>
    <w:rsid w:val="6E603D3C"/>
    <w:rsid w:val="6FE4739E"/>
    <w:rsid w:val="70AA28E3"/>
    <w:rsid w:val="70DF5DB7"/>
    <w:rsid w:val="725635DD"/>
    <w:rsid w:val="72AE5598"/>
    <w:rsid w:val="72B66F8B"/>
    <w:rsid w:val="72D37256"/>
    <w:rsid w:val="735E614C"/>
    <w:rsid w:val="737E18B7"/>
    <w:rsid w:val="738564EC"/>
    <w:rsid w:val="74192FC4"/>
    <w:rsid w:val="748E1DFC"/>
    <w:rsid w:val="748E25CA"/>
    <w:rsid w:val="74A70471"/>
    <w:rsid w:val="75081759"/>
    <w:rsid w:val="751F29F5"/>
    <w:rsid w:val="76850221"/>
    <w:rsid w:val="76880357"/>
    <w:rsid w:val="770A6B27"/>
    <w:rsid w:val="774B7FC3"/>
    <w:rsid w:val="777547E2"/>
    <w:rsid w:val="787D0AF9"/>
    <w:rsid w:val="78E75809"/>
    <w:rsid w:val="79030169"/>
    <w:rsid w:val="797A042B"/>
    <w:rsid w:val="79CF2495"/>
    <w:rsid w:val="79E1494E"/>
    <w:rsid w:val="7AE63EBE"/>
    <w:rsid w:val="7B310FBD"/>
    <w:rsid w:val="7C5E4916"/>
    <w:rsid w:val="7C66113B"/>
    <w:rsid w:val="7CD159DE"/>
    <w:rsid w:val="7E5908C8"/>
    <w:rsid w:val="7E851D4C"/>
    <w:rsid w:val="7EE8316B"/>
    <w:rsid w:val="7EFE38AC"/>
    <w:rsid w:val="7FFF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15"/>
    <w:unhideWhenUsed/>
    <w:qFormat/>
    <w:uiPriority w:val="99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character" w:styleId="12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5">
    <w:name w:val="纯文本 Char"/>
    <w:basedOn w:val="11"/>
    <w:link w:val="5"/>
    <w:qFormat/>
    <w:uiPriority w:val="99"/>
    <w:rPr>
      <w:rFonts w:ascii="宋体" w:hAnsi="Courier New" w:eastAsia="宋体" w:cs="Courier New"/>
      <w:szCs w:val="21"/>
    </w:rPr>
  </w:style>
  <w:style w:type="character" w:customStyle="1" w:styleId="16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8">
    <w:name w:val="conrtib-corresp"/>
    <w:basedOn w:val="11"/>
    <w:qFormat/>
    <w:uiPriority w:val="0"/>
  </w:style>
  <w:style w:type="character" w:customStyle="1" w:styleId="19">
    <w:name w:val="标题 3 Char"/>
    <w:basedOn w:val="11"/>
    <w:link w:val="3"/>
    <w:semiHidden/>
    <w:qFormat/>
    <w:uiPriority w:val="9"/>
    <w:rPr>
      <w:b/>
      <w:bCs/>
      <w:sz w:val="32"/>
      <w:szCs w:val="32"/>
    </w:rPr>
  </w:style>
  <w:style w:type="character" w:customStyle="1" w:styleId="20">
    <w:name w:val="标题 2 Char"/>
    <w:basedOn w:val="11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1">
    <w:name w:val="author-typ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author-nam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批注文字 Char"/>
    <w:basedOn w:val="11"/>
    <w:link w:val="4"/>
    <w:semiHidden/>
    <w:qFormat/>
    <w:uiPriority w:val="99"/>
  </w:style>
  <w:style w:type="character" w:customStyle="1" w:styleId="24">
    <w:name w:val="批注主题 Char"/>
    <w:basedOn w:val="23"/>
    <w:link w:val="9"/>
    <w:semiHidden/>
    <w:qFormat/>
    <w:uiPriority w:val="99"/>
    <w:rPr>
      <w:b/>
      <w:bCs/>
    </w:rPr>
  </w:style>
  <w:style w:type="character" w:customStyle="1" w:styleId="25">
    <w:name w:val="批注框文本 Char"/>
    <w:basedOn w:val="11"/>
    <w:link w:val="6"/>
    <w:semiHidden/>
    <w:qFormat/>
    <w:uiPriority w:val="99"/>
    <w:rPr>
      <w:sz w:val="18"/>
      <w:szCs w:val="18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6B772-4990-47B6-95DB-C25F7D09A9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593</Words>
  <Characters>3781</Characters>
  <Lines>1</Lines>
  <Paragraphs>1</Paragraphs>
  <TotalTime>13</TotalTime>
  <ScaleCrop>false</ScaleCrop>
  <LinksUpToDate>false</LinksUpToDate>
  <CharactersWithSpaces>4321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2026-04-20T01:10:00Z</dcterms:created>
  <dc:creator>bnds</dc:creator>
  <cp:lastModifiedBy>朱晓丽</cp:lastModifiedBy>
  <dcterms:modified xsi:type="dcterms:W3CDTF">2026-10-12T02:55:29Z</dcterms:modified>
  <cp:revision>347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C508DD65B27542B4AB085974D6D2E0DB_12</vt:lpwstr>
  </property>
</Properties>
</file>