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85D74">
      <w:pPr>
        <w:spacing w:line="360" w:lineRule="auto"/>
        <w:jc w:val="center"/>
        <w:rPr>
          <w:rFonts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202</w:t>
      </w:r>
      <w:r>
        <w:rPr>
          <w:rFonts w:ascii="宋体" w:hAnsi="宋体" w:eastAsia="宋体" w:cs="宋体"/>
          <w:b/>
          <w:color w:val="000000"/>
          <w:sz w:val="28"/>
          <w:szCs w:val="28"/>
        </w:rPr>
        <w:t>6</w:t>
      </w: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年第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t>41</w:t>
      </w: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周</w:t>
      </w:r>
    </w:p>
    <w:p w14:paraId="3ED8B6E5">
      <w:pPr>
        <w:spacing w:line="360" w:lineRule="auto"/>
        <w:jc w:val="center"/>
        <w:rPr>
          <w:rFonts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境外学者发表的结核病英文文章摘要</w:t>
      </w:r>
    </w:p>
    <w:p w14:paraId="2D072865">
      <w:pPr>
        <w:spacing w:line="360" w:lineRule="auto"/>
        <w:jc w:val="center"/>
        <w:rPr>
          <w:rFonts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（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t>74</w:t>
      </w:r>
      <w:bookmarkStart w:id="0" w:name="_GoBack"/>
      <w:bookmarkEnd w:id="0"/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篇）</w:t>
      </w:r>
    </w:p>
    <w:p w14:paraId="305CA2EB">
      <w:pPr>
        <w:jc w:val="left"/>
        <w:rPr>
          <w:rFonts w:ascii="宋体" w:hAnsi="宋体" w:eastAsia="宋体" w:cs="宋体"/>
          <w:b/>
          <w:color w:val="FF0000"/>
          <w:szCs w:val="24"/>
        </w:rPr>
      </w:pPr>
    </w:p>
    <w:p w14:paraId="190FEF94">
      <w:pPr>
        <w:jc w:val="left"/>
        <w:rPr>
          <w:rFonts w:hint="default" w:ascii="宋体" w:hAnsi="宋体" w:eastAsia="宋体" w:cs="宋体"/>
          <w:b/>
          <w:color w:val="FF000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FF0000"/>
          <w:szCs w:val="24"/>
        </w:rPr>
        <w:t>PubMed  Publication date: 202</w:t>
      </w:r>
      <w:r>
        <w:rPr>
          <w:rFonts w:ascii="宋体" w:hAnsi="宋体" w:eastAsia="宋体" w:cs="宋体"/>
          <w:b/>
          <w:color w:val="FF0000"/>
          <w:szCs w:val="24"/>
        </w:rPr>
        <w:t>6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5</w:t>
      </w:r>
      <w:r>
        <w:rPr>
          <w:rFonts w:ascii="宋体" w:hAnsi="宋体" w:eastAsia="宋体" w:cs="宋体"/>
          <w:b/>
          <w:color w:val="FF0000"/>
          <w:szCs w:val="24"/>
        </w:rPr>
        <w:t xml:space="preserve"> </w:t>
      </w:r>
      <w:r>
        <w:rPr>
          <w:rFonts w:hint="eastAsia" w:ascii="宋体" w:hAnsi="宋体" w:eastAsia="宋体" w:cs="宋体"/>
          <w:b/>
          <w:color w:val="FF0000"/>
          <w:szCs w:val="24"/>
        </w:rPr>
        <w:t>---</w:t>
      </w:r>
      <w:r>
        <w:rPr>
          <w:rFonts w:ascii="宋体" w:hAnsi="宋体" w:eastAsia="宋体" w:cs="宋体"/>
          <w:b/>
          <w:color w:val="FF0000"/>
          <w:szCs w:val="24"/>
        </w:rPr>
        <w:t xml:space="preserve"> </w:t>
      </w:r>
      <w:r>
        <w:rPr>
          <w:rFonts w:hint="eastAsia" w:ascii="宋体" w:hAnsi="宋体" w:eastAsia="宋体" w:cs="宋体"/>
          <w:b/>
          <w:color w:val="FF0000"/>
          <w:szCs w:val="24"/>
        </w:rPr>
        <w:t>202</w:t>
      </w:r>
      <w:r>
        <w:rPr>
          <w:rFonts w:ascii="宋体" w:hAnsi="宋体" w:eastAsia="宋体" w:cs="宋体"/>
          <w:b/>
          <w:color w:val="FF0000"/>
          <w:szCs w:val="24"/>
        </w:rPr>
        <w:t>6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11</w:t>
      </w:r>
    </w:p>
    <w:p w14:paraId="2F519DAD">
      <w:pPr>
        <w:rPr>
          <w:rFonts w:ascii="宋体" w:hAnsi="宋体" w:eastAsia="宋体" w:cs="宋体"/>
          <w:b/>
          <w:color w:val="FF0000"/>
          <w:szCs w:val="24"/>
        </w:rPr>
      </w:pPr>
      <w:r>
        <w:rPr>
          <w:rFonts w:hint="eastAsia" w:ascii="宋体" w:hAnsi="宋体" w:eastAsia="宋体" w:cs="宋体"/>
          <w:b/>
          <w:color w:val="FF0000"/>
          <w:szCs w:val="24"/>
        </w:rPr>
        <w:t>(tuberculosis[Title/Abstract]) AND (English[Language])</w:t>
      </w:r>
    </w:p>
    <w:p w14:paraId="1A1A09D3">
      <w:pPr>
        <w:rPr>
          <w:rFonts w:ascii="宋体" w:hAnsi="宋体" w:eastAsia="宋体" w:cs="宋体"/>
          <w:b/>
          <w:color w:val="FF0000"/>
          <w:szCs w:val="24"/>
        </w:rPr>
      </w:pPr>
    </w:p>
    <w:p w14:paraId="310B8CFC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1. Arch Pharm (Weinheim). 2026 Oct;359(10):e70355. doi: 10.1002/ardp.70355.</w:t>
      </w:r>
    </w:p>
    <w:p w14:paraId="10DC41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4C82A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Synthesis and Evaluation of New Nitrofuranylamides With Collection of </w:t>
      </w:r>
    </w:p>
    <w:p w14:paraId="72FF8A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Mycobacterium tuberculosis Clinical Strains From Multidrug-Resistant </w:t>
      </w:r>
    </w:p>
    <w:p w14:paraId="54BB13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 High-Burden Country.</w:t>
      </w:r>
    </w:p>
    <w:p w14:paraId="4C1880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DEA8F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Dobrikov GM(1), Dogonadze M(2), Vyazovaya A(3), Valcheva V(4), Zhuravlev V(2), </w:t>
      </w:r>
    </w:p>
    <w:p w14:paraId="55797B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Mokrousov I(3)(5).</w:t>
      </w:r>
    </w:p>
    <w:p w14:paraId="184FAA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D814C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0179D0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(1)Institute of Organic Chemistry with Centre of Phytochemistry, Bulgarian </w:t>
      </w:r>
    </w:p>
    <w:p w14:paraId="1BE527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Academy of Sciences, Sofia, Bulgaria.</w:t>
      </w:r>
    </w:p>
    <w:p w14:paraId="7A0921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(2)St. Petersburg Research Institute of Phthisiopulmonology, St. Petersburg, </w:t>
      </w:r>
    </w:p>
    <w:p w14:paraId="68BED8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Russia.</w:t>
      </w:r>
    </w:p>
    <w:p w14:paraId="6FFD7D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(3)Laboratory of Molecular Epidemiology and Evolutionary Genetics, St. </w:t>
      </w:r>
    </w:p>
    <w:p w14:paraId="72A185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Petersburg Pasteur Institute, St. Petersburg, Russia.</w:t>
      </w:r>
    </w:p>
    <w:p w14:paraId="56B1E1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(4)Stephan Angeloff Institute of Microbiology, Bulgarian Academy of Sciences, </w:t>
      </w:r>
    </w:p>
    <w:p w14:paraId="4CD0EE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Sofia, Bulgaria.</w:t>
      </w:r>
    </w:p>
    <w:p w14:paraId="1345E4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(5)Henan International Joint Laboratory of Children's Infectious Diseases, </w:t>
      </w:r>
    </w:p>
    <w:p w14:paraId="6E07FC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Children's Hospital Affiliated to Zhengzhou University, Henan Children's </w:t>
      </w:r>
    </w:p>
    <w:p w14:paraId="133E0C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Hospital Zhengzhou Children's Hospital, Zhengzhou, China.</w:t>
      </w:r>
    </w:p>
    <w:p w14:paraId="623DE5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1AEB6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Emergence of drug-resistant Mycobacterium tuberculosis necessitates the </w:t>
      </w:r>
    </w:p>
    <w:p w14:paraId="05779C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development of new drugs. Here, we studied the activity of new piperazine </w:t>
      </w:r>
    </w:p>
    <w:p w14:paraId="628EFC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nitrofuranylamides against a collection of clinical strains from an </w:t>
      </w:r>
    </w:p>
    <w:p w14:paraId="71A04D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multidrug-resistant tuberculosis (MDR-TB) high-burden country. A series of </w:t>
      </w:r>
    </w:p>
    <w:p w14:paraId="3CB6D2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nitrofuranylamides 9-15 was synthesized and evaluated using a collection of </w:t>
      </w:r>
    </w:p>
    <w:p w14:paraId="1FEB15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diverse clinical strains representing globally spread genotypes (Beijing, LAM, </w:t>
      </w:r>
    </w:p>
    <w:p w14:paraId="1B8EB9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Haarlem; susceptible, MDR, and pre-extensively drug resistant). Minimal </w:t>
      </w:r>
    </w:p>
    <w:p w14:paraId="07AB70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inhibitory concentrations (MIC) were determined using a resazurin assay. </w:t>
      </w:r>
    </w:p>
    <w:p w14:paraId="4133C6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Whole-genome sequencing was performed on an Illumina HiSeq platform. Although </w:t>
      </w:r>
    </w:p>
    <w:p w14:paraId="4DAD72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 isolates differed in their MICs, some tested compounds-namely 11 and </w:t>
      </w:r>
    </w:p>
    <w:p w14:paraId="28B0C8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12-showed higher MICs regardless of the clinical strain. In contrast, compounds </w:t>
      </w:r>
    </w:p>
    <w:p w14:paraId="76C179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13-15 exhibited promising activity (MIC &lt; 0.1 µg/mL) against the majority of </w:t>
      </w:r>
    </w:p>
    <w:p w14:paraId="21C626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strains. Moreover, 13 and 14 were previously shown to have low toxicity in </w:t>
      </w:r>
    </w:p>
    <w:p w14:paraId="355494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JCL:ICR mice and low cytotoxicity against human cell lines. A closer look at </w:t>
      </w:r>
    </w:p>
    <w:p w14:paraId="5BE6A9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structural variation indicated that the presence of a pyridine- or </w:t>
      </w:r>
    </w:p>
    <w:p w14:paraId="48436F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quinoline-type aryl substituent leads to a broader spectrum of activity. The </w:t>
      </w:r>
    </w:p>
    <w:p w14:paraId="1DC383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additional nitro group in 14 appears to contribute significantly to its </w:t>
      </w:r>
    </w:p>
    <w:p w14:paraId="04BE5C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activity. A nonsynonymous mutation in the efflux pump gene Rv3728 (372 A &gt; V, </w:t>
      </w:r>
    </w:p>
    <w:p w14:paraId="766675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GCC → GTC) in one of the Haarlem genotype strains may speculatively correlate </w:t>
      </w:r>
    </w:p>
    <w:p w14:paraId="57A57C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its high-level intrinsic resistance to nitrofurans. Further biological </w:t>
      </w:r>
    </w:p>
    <w:p w14:paraId="6572FD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research is warranted to investigate the mechanism of action of the most </w:t>
      </w:r>
    </w:p>
    <w:p w14:paraId="343DDF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promising compounds.</w:t>
      </w:r>
    </w:p>
    <w:p w14:paraId="682F5D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08FF0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Deutsche Pharmazeutische Gesellschaft.</w:t>
      </w:r>
    </w:p>
    <w:p w14:paraId="625943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F4EC3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10.1002/ardp.70355</w:t>
      </w:r>
    </w:p>
    <w:p w14:paraId="108B97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42839804 [Indexed for MEDLINE]</w:t>
      </w:r>
    </w:p>
    <w:p w14:paraId="64C7D4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7015CEE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Int Med Case Rep J. 2026 Sep 23;19:636922. doi: 10.2147/IMCRJ.S636922. </w:t>
      </w:r>
    </w:p>
    <w:p w14:paraId="7698BE26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30DE97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47B03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Isolated Ovarian Tuberculosis Mimicking Ovarian Malignancy in a Young Female </w:t>
      </w:r>
    </w:p>
    <w:p w14:paraId="7ADDB2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with Primary Infertility: A Case Report.</w:t>
      </w:r>
    </w:p>
    <w:p w14:paraId="0CE481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C4AB6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Sarwary MF(#)(1), Sediqi M(#)(1), Modabber MH(#)(1), Kamal MI(2)(3), Bawarzai </w:t>
      </w:r>
    </w:p>
    <w:p w14:paraId="1752EE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A(1), Marofi M(1), Mukhlis AG(4), Sadeqy L(5).</w:t>
      </w:r>
    </w:p>
    <w:p w14:paraId="618011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BB3E4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6769A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(1)Faculty of Medicine, Kabul University of Medical Sciences "Abu Ali Ibn Sina", </w:t>
      </w:r>
    </w:p>
    <w:p w14:paraId="67BB1F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Kabul, Afghanistan.</w:t>
      </w:r>
    </w:p>
    <w:p w14:paraId="3DF678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(2)Department of Pathology, Ali Abad Teaching Hospital, Kabul, Afghanistan.</w:t>
      </w:r>
    </w:p>
    <w:p w14:paraId="6AB77E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Pathology, Kabul University of Medical Sciences "Abu Ali Ibn </w:t>
      </w:r>
    </w:p>
    <w:p w14:paraId="4C0E28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Sina", Kabul, Afghanistan.</w:t>
      </w:r>
    </w:p>
    <w:p w14:paraId="5DE8DF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Medicine, Capital Medical University, Beijing, People's </w:t>
      </w:r>
    </w:p>
    <w:p w14:paraId="7AB578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Republic of China.</w:t>
      </w:r>
    </w:p>
    <w:p w14:paraId="7C54E3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(5)Department of Medical Technology, Khatum Al-Nabieen University, Kabul, </w:t>
      </w:r>
    </w:p>
    <w:p w14:paraId="585ECF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Afghanistan.</w:t>
      </w:r>
    </w:p>
    <w:p w14:paraId="5551B1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(#)Contributed equally</w:t>
      </w:r>
    </w:p>
    <w:p w14:paraId="5D3163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F9A54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 T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uberculosis (TB) is an infectious disease that most commonly </w:t>
      </w:r>
    </w:p>
    <w:p w14:paraId="1A072B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affects the lungs and remains among the top 10 causes of death worldwide. </w:t>
      </w:r>
    </w:p>
    <w:p w14:paraId="10322E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Isolated ovarian tuberculosis is a rare form of extrapulmonary TB that usually </w:t>
      </w:r>
    </w:p>
    <w:p w14:paraId="5A5512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presents with atypical symptoms and infertility. It brings significant </w:t>
      </w:r>
    </w:p>
    <w:p w14:paraId="66D5E8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diagnostic challenges and may mimic ovarian malignancy.</w:t>
      </w:r>
    </w:p>
    <w:p w14:paraId="531EBC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CASE PRESENTATION: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 23-year-old nulliparous Afghan woman underwent laparotomy </w:t>
      </w:r>
    </w:p>
    <w:p w14:paraId="3129B5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 suspected ovarian adnexal masses/ovarian tumor after presenting with pelvic </w:t>
      </w:r>
    </w:p>
    <w:p w14:paraId="1EDF53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pain, prolonged low-grade fever, and infertility for five years following </w:t>
      </w:r>
    </w:p>
    <w:p w14:paraId="1E7814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marriage. Intraoperatively, bilateral ovarian cysts were noted; subsequently, </w:t>
      </w:r>
    </w:p>
    <w:p w14:paraId="29CDDB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bilateral cystectomies were done. Postoperative Histopathology of surgical </w:t>
      </w:r>
    </w:p>
    <w:p w14:paraId="69BD39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specimens confirmed the diagnosis of tuberculosis lesions, and the patient was </w:t>
      </w:r>
    </w:p>
    <w:p w14:paraId="2B94E7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referred for anti-tuberculous therapy.</w:t>
      </w:r>
    </w:p>
    <w:p w14:paraId="672551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Isolated ovarian tuberculosis can present as adnexal masses with </w:t>
      </w:r>
    </w:p>
    <w:p w14:paraId="6D8670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elevated CA-125 and could closely mimic ovarian malignancy. This case highlights </w:t>
      </w:r>
    </w:p>
    <w:p w14:paraId="6B5958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need to consider ovarian tuberculosis in the differential diagnosis, </w:t>
      </w:r>
    </w:p>
    <w:p w14:paraId="2BFE36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particularly in endemic regions. It emphasizes the value of histopathological </w:t>
      </w:r>
    </w:p>
    <w:p w14:paraId="730813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confirmation to prevent misdiagnosis and to recommend early initiation of </w:t>
      </w:r>
    </w:p>
    <w:p w14:paraId="255694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antitubercular therapy for favorable clinical outcomes.</w:t>
      </w:r>
    </w:p>
    <w:p w14:paraId="2B8BC9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94880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Sarwary et al.</w:t>
      </w:r>
    </w:p>
    <w:p w14:paraId="33BC3B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A046E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10.2147/IMCRJ.S636922</w:t>
      </w:r>
    </w:p>
    <w:p w14:paraId="600B15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PMC13616165</w:t>
      </w:r>
    </w:p>
    <w:p w14:paraId="4698C5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42802860 [Indexed for MEDLINE]</w:t>
      </w:r>
    </w:p>
    <w:p w14:paraId="7A9FB9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EC7CE6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bioRxiv [Preprint]. 2026 Sep 22:2026.09.22.752266. doi: </w:t>
      </w:r>
    </w:p>
    <w:p w14:paraId="4D2BDA79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10.64898/2026.09.22.752266.</w:t>
      </w:r>
    </w:p>
    <w:p w14:paraId="17045D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94806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One-Dose Efficacy of Long-Acting Sorfequiline in a Mouse Model of Tuberculosis </w:t>
      </w:r>
    </w:p>
    <w:p w14:paraId="767AF1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Preventive Therapy.</w:t>
      </w:r>
    </w:p>
    <w:p w14:paraId="4465EB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4D782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 SY, Hobson JJ, Ammerman NC, Pertinez H, Sharp J, Fotouhi N, Rannard S, Owen </w:t>
      </w:r>
    </w:p>
    <w:p w14:paraId="62B037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A, Nuermberger EL.</w:t>
      </w:r>
    </w:p>
    <w:p w14:paraId="120B7A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9C939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RATIONALE: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Tuberculosis preventive therapy (TPT) is essential for global </w:t>
      </w:r>
    </w:p>
    <w:p w14:paraId="272350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control, yet estimated coverage remains well below global targets. </w:t>
      </w:r>
    </w:p>
    <w:p w14:paraId="7D979A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Current World Health Organization (WHO)-recommended regimens require 1-9 months </w:t>
      </w:r>
    </w:p>
    <w:p w14:paraId="03D61D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treatment and are associated with suboptimal completion rates. Long-acting </w:t>
      </w:r>
    </w:p>
    <w:p w14:paraId="146D84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injectable (LAI) formulations offer the potential to improve TPT uptake and </w:t>
      </w:r>
    </w:p>
    <w:p w14:paraId="7C016D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completion, with ideal products providing "one-and-done" options via a single </w:t>
      </w:r>
    </w:p>
    <w:p w14:paraId="1DC404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administration. Sorfequiline, a second-generation diarylquinoline with superior </w:t>
      </w:r>
    </w:p>
    <w:p w14:paraId="1FB117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potency over bedaquiline and lower QT prolongation risk, is a promising </w:t>
      </w:r>
    </w:p>
    <w:p w14:paraId="275ED4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candidate for LAI TPT.</w:t>
      </w:r>
    </w:p>
    <w:p w14:paraId="1E03DA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OBJECTIVES: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experimentally determine exposure-activity relationships for </w:t>
      </w:r>
    </w:p>
    <w:p w14:paraId="629B56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sorfequiline as TPT, estimate target plasma exposures, and characterize the </w:t>
      </w:r>
    </w:p>
    <w:p w14:paraId="650EC1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pharmacokinetics (PK), tolerability, and efficacy of sorfequiline LAI </w:t>
      </w:r>
    </w:p>
    <w:p w14:paraId="227FB7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formulations.</w:t>
      </w:r>
    </w:p>
    <w:p w14:paraId="0A469E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Oral sorfequiline dosing experiments established PK and pharmacodynamic </w:t>
      </w:r>
    </w:p>
    <w:p w14:paraId="423F5E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relationships in a validated paucibacillary mouse model of TPT. Three candidate </w:t>
      </w:r>
    </w:p>
    <w:p w14:paraId="7522AF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sorfequiline LAI formulations were evaluated for PK and tolerability in </w:t>
      </w:r>
    </w:p>
    <w:p w14:paraId="3F7E81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uninfected mice, followed by efficacy assessment compared to oral comparators </w:t>
      </w:r>
    </w:p>
    <w:p w14:paraId="0436C2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(1HP, bedaquiline, sorfequiline).</w:t>
      </w:r>
    </w:p>
    <w:p w14:paraId="6457FF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MEASUREMENT AND MAIN 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Oral dosing experiments established a provisional </w:t>
      </w:r>
    </w:p>
    <w:p w14:paraId="75BF34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target plasma C min of 35 ng/mL for bactericidal effect. All tested LAI </w:t>
      </w:r>
    </w:p>
    <w:p w14:paraId="15B6EE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formulations achieved this target for at least 4 weeks post-dose. In efficacy </w:t>
      </w:r>
    </w:p>
    <w:p w14:paraId="0B64A6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studies, all sorfequiline LAI regimens (62.5-250 mg/kg) and sorfequiline oral </w:t>
      </w:r>
    </w:p>
    <w:p w14:paraId="15BD4E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regimens demonstrated significantly greater bactericidal activity than 1HP and </w:t>
      </w:r>
    </w:p>
    <w:p w14:paraId="0975A1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oral bedaquiline. Among mice receiving ≥125 mg/kg of any sorfequiline LAI, 92% </w:t>
      </w:r>
    </w:p>
    <w:p w14:paraId="52F1C1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were culture-negative at 12 weeks.</w:t>
      </w:r>
    </w:p>
    <w:p w14:paraId="6AFDC4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Superior efficacy of a single-dose sorfequiline LAI injection </w:t>
      </w:r>
    </w:p>
    <w:p w14:paraId="543B36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compared to 1HP indicates the potential to meet the WHO target product profile </w:t>
      </w:r>
    </w:p>
    <w:p w14:paraId="2B1A10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for an optimal "one-and-done" LAI TPT clinical regimen.</w:t>
      </w:r>
    </w:p>
    <w:p w14:paraId="39481D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B47B3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10.64898/2026.09.22.752266</w:t>
      </w:r>
    </w:p>
    <w:p w14:paraId="7D7301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PMC13622149</w:t>
      </w:r>
    </w:p>
    <w:p w14:paraId="1E2ED7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42818190</w:t>
      </w:r>
    </w:p>
    <w:p w14:paraId="1484C9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527914C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4</w:t>
      </w:r>
      <w:r>
        <w:rPr>
          <w:rFonts w:hint="eastAsia"/>
          <w:b/>
          <w:bCs/>
          <w:color w:val="FF0000"/>
        </w:rPr>
        <w:t xml:space="preserve">. Clin Case Rep. 2026 Oct 9;14(10):e73713. doi: 10.1002/ccr3.73713. eCollection </w:t>
      </w:r>
    </w:p>
    <w:p w14:paraId="324E7272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2026 Oct.</w:t>
      </w:r>
    </w:p>
    <w:p w14:paraId="482E84BF">
      <w:pPr>
        <w:pStyle w:val="2"/>
        <w:rPr>
          <w:rFonts w:hint="eastAsia"/>
        </w:rPr>
      </w:pPr>
    </w:p>
    <w:p w14:paraId="6F7E33BD">
      <w:pPr>
        <w:pStyle w:val="2"/>
        <w:rPr>
          <w:rFonts w:hint="eastAsia"/>
        </w:rPr>
      </w:pPr>
      <w:r>
        <w:rPr>
          <w:rFonts w:hint="eastAsia"/>
        </w:rPr>
        <w:t xml:space="preserve">Branchial Cleft Cyst With Coexisting Tuberculous Lymphadenitis in an Elderly </w:t>
      </w:r>
    </w:p>
    <w:p w14:paraId="3CF766CB">
      <w:pPr>
        <w:pStyle w:val="2"/>
        <w:rPr>
          <w:rFonts w:hint="eastAsia"/>
        </w:rPr>
      </w:pPr>
      <w:r>
        <w:rPr>
          <w:rFonts w:hint="eastAsia"/>
        </w:rPr>
        <w:t>Patient: A Diagnostic Challenge.</w:t>
      </w:r>
    </w:p>
    <w:p w14:paraId="58BCDEEC">
      <w:pPr>
        <w:pStyle w:val="2"/>
        <w:rPr>
          <w:rFonts w:hint="eastAsia"/>
        </w:rPr>
      </w:pPr>
    </w:p>
    <w:p w14:paraId="420F2856">
      <w:pPr>
        <w:pStyle w:val="2"/>
        <w:rPr>
          <w:rFonts w:hint="eastAsia"/>
        </w:rPr>
      </w:pPr>
      <w:r>
        <w:rPr>
          <w:rFonts w:hint="eastAsia"/>
        </w:rPr>
        <w:t>Khatiwada A(1), Mahato R(2), Kattel B(1), Baral P(1), Karn P(1), Bartaula R(1).</w:t>
      </w:r>
    </w:p>
    <w:p w14:paraId="65BFED05">
      <w:pPr>
        <w:pStyle w:val="2"/>
        <w:rPr>
          <w:rFonts w:hint="eastAsia"/>
        </w:rPr>
      </w:pPr>
    </w:p>
    <w:p w14:paraId="72DD7610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21079671">
      <w:pPr>
        <w:pStyle w:val="2"/>
        <w:rPr>
          <w:rFonts w:hint="eastAsia"/>
        </w:rPr>
      </w:pPr>
      <w:r>
        <w:rPr>
          <w:rFonts w:hint="eastAsia"/>
        </w:rPr>
        <w:t>(1)Birat Medical College Teaching Hospital Morang Nepal.</w:t>
      </w:r>
    </w:p>
    <w:p w14:paraId="5A177CC8">
      <w:pPr>
        <w:pStyle w:val="2"/>
        <w:rPr>
          <w:rFonts w:hint="eastAsia"/>
        </w:rPr>
      </w:pPr>
      <w:r>
        <w:rPr>
          <w:rFonts w:hint="eastAsia"/>
        </w:rPr>
        <w:t xml:space="preserve">(2)Department of Otorhinolaryngology Birat Medical College Teaching Hospital </w:t>
      </w:r>
    </w:p>
    <w:p w14:paraId="4E6C1E00">
      <w:pPr>
        <w:pStyle w:val="2"/>
        <w:rPr>
          <w:rFonts w:hint="eastAsia"/>
        </w:rPr>
      </w:pPr>
      <w:r>
        <w:rPr>
          <w:rFonts w:hint="eastAsia"/>
        </w:rPr>
        <w:t>Morang Nepal.</w:t>
      </w:r>
    </w:p>
    <w:p w14:paraId="4D2494EF">
      <w:pPr>
        <w:pStyle w:val="2"/>
        <w:rPr>
          <w:rFonts w:hint="eastAsia"/>
        </w:rPr>
      </w:pPr>
    </w:p>
    <w:p w14:paraId="516ED7E1">
      <w:pPr>
        <w:pStyle w:val="2"/>
        <w:rPr>
          <w:rFonts w:hint="eastAsia"/>
        </w:rPr>
      </w:pPr>
      <w:r>
        <w:rPr>
          <w:rFonts w:hint="eastAsia"/>
        </w:rPr>
        <w:t xml:space="preserve">Cystic lateral neck masses in elderly patients require careful evaluation as </w:t>
      </w:r>
    </w:p>
    <w:p w14:paraId="00C80496">
      <w:pPr>
        <w:pStyle w:val="2"/>
        <w:rPr>
          <w:rFonts w:hint="eastAsia"/>
        </w:rPr>
      </w:pPr>
      <w:r>
        <w:rPr>
          <w:rFonts w:hint="eastAsia"/>
        </w:rPr>
        <w:t xml:space="preserve">clinical and cytological findings may be misleading. Histopathology remains </w:t>
      </w:r>
    </w:p>
    <w:p w14:paraId="0A9009D4">
      <w:pPr>
        <w:pStyle w:val="2"/>
        <w:rPr>
          <w:rFonts w:hint="eastAsia"/>
        </w:rPr>
      </w:pPr>
      <w:r>
        <w:rPr>
          <w:rFonts w:hint="eastAsia"/>
        </w:rPr>
        <w:t xml:space="preserve">essential for definitive diagnosis, and the uncommon coexistence of congenital </w:t>
      </w:r>
    </w:p>
    <w:p w14:paraId="3C8DA77F">
      <w:pPr>
        <w:pStyle w:val="2"/>
        <w:rPr>
          <w:rFonts w:hint="eastAsia"/>
        </w:rPr>
      </w:pPr>
      <w:r>
        <w:rPr>
          <w:rFonts w:hint="eastAsia"/>
        </w:rPr>
        <w:t>lesions with tuberculous lymphadenitis should be considered in endemic regions.</w:t>
      </w:r>
    </w:p>
    <w:p w14:paraId="64E719A9">
      <w:pPr>
        <w:pStyle w:val="2"/>
        <w:rPr>
          <w:rFonts w:hint="eastAsia"/>
        </w:rPr>
      </w:pPr>
    </w:p>
    <w:p w14:paraId="463EEFB4">
      <w:pPr>
        <w:pStyle w:val="2"/>
        <w:rPr>
          <w:rFonts w:hint="eastAsia"/>
        </w:rPr>
      </w:pPr>
      <w:r>
        <w:rPr>
          <w:rFonts w:hint="eastAsia"/>
        </w:rPr>
        <w:t>© 2026 The Author(s). Clinical Case Reports published by John Wiley &amp; Sons Ltd.</w:t>
      </w:r>
    </w:p>
    <w:p w14:paraId="4193672A">
      <w:pPr>
        <w:pStyle w:val="2"/>
        <w:rPr>
          <w:rFonts w:hint="eastAsia"/>
        </w:rPr>
      </w:pPr>
    </w:p>
    <w:p w14:paraId="28844E98">
      <w:pPr>
        <w:pStyle w:val="2"/>
        <w:rPr>
          <w:rFonts w:hint="eastAsia"/>
        </w:rPr>
      </w:pPr>
      <w:r>
        <w:rPr>
          <w:rFonts w:hint="eastAsia"/>
        </w:rPr>
        <w:t>DOI: 10.1002/ccr3.73713</w:t>
      </w:r>
    </w:p>
    <w:p w14:paraId="5BD5DDE6">
      <w:pPr>
        <w:pStyle w:val="2"/>
        <w:rPr>
          <w:rFonts w:hint="eastAsia"/>
        </w:rPr>
      </w:pPr>
      <w:r>
        <w:rPr>
          <w:rFonts w:hint="eastAsia"/>
        </w:rPr>
        <w:t>PMCID: PMC13653138</w:t>
      </w:r>
    </w:p>
    <w:p w14:paraId="59BEA539">
      <w:pPr>
        <w:pStyle w:val="2"/>
        <w:rPr>
          <w:rFonts w:hint="eastAsia"/>
        </w:rPr>
      </w:pPr>
      <w:r>
        <w:rPr>
          <w:rFonts w:hint="eastAsia"/>
        </w:rPr>
        <w:t>PMID: 42859666</w:t>
      </w:r>
    </w:p>
    <w:p w14:paraId="03164291">
      <w:pPr>
        <w:pStyle w:val="2"/>
        <w:rPr>
          <w:rFonts w:hint="eastAsia"/>
        </w:rPr>
      </w:pPr>
    </w:p>
    <w:p w14:paraId="792C9804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5</w:t>
      </w:r>
      <w:r>
        <w:rPr>
          <w:rFonts w:hint="eastAsia"/>
          <w:b/>
          <w:bCs/>
          <w:color w:val="FF0000"/>
        </w:rPr>
        <w:t>. Trop Anim Health Prod. 2026 Oct 10;58(8):585. doi: 10.1007/s11250-026-05297-y.</w:t>
      </w:r>
    </w:p>
    <w:p w14:paraId="016C2566">
      <w:pPr>
        <w:pStyle w:val="2"/>
        <w:rPr>
          <w:rFonts w:hint="eastAsia"/>
        </w:rPr>
      </w:pPr>
    </w:p>
    <w:p w14:paraId="4259A4E4">
      <w:pPr>
        <w:pStyle w:val="2"/>
        <w:rPr>
          <w:rFonts w:hint="eastAsia"/>
        </w:rPr>
      </w:pPr>
      <w:r>
        <w:rPr>
          <w:rFonts w:hint="eastAsia"/>
        </w:rPr>
        <w:t xml:space="preserve">Development of a multiplex PCR for detection of pathogenic Mycobacterium orygis </w:t>
      </w:r>
    </w:p>
    <w:p w14:paraId="43A8360E">
      <w:pPr>
        <w:pStyle w:val="2"/>
        <w:rPr>
          <w:rFonts w:hint="eastAsia"/>
        </w:rPr>
      </w:pPr>
      <w:r>
        <w:rPr>
          <w:rFonts w:hint="eastAsia"/>
        </w:rPr>
        <w:t>in cattle tissues harboring tuberculous-like lesions: a pilot study.</w:t>
      </w:r>
    </w:p>
    <w:p w14:paraId="298A1617">
      <w:pPr>
        <w:pStyle w:val="2"/>
        <w:rPr>
          <w:rFonts w:hint="eastAsia"/>
        </w:rPr>
      </w:pPr>
    </w:p>
    <w:p w14:paraId="433F8F5C">
      <w:pPr>
        <w:pStyle w:val="2"/>
        <w:rPr>
          <w:rFonts w:hint="eastAsia"/>
        </w:rPr>
      </w:pPr>
      <w:r>
        <w:rPr>
          <w:rFonts w:hint="eastAsia"/>
        </w:rPr>
        <w:t xml:space="preserve">Samanta S(1), Dandapat P(2)(3), Haque MZ(4), Jana PS(4), Bandyopadhyay S(2), Sen </w:t>
      </w:r>
    </w:p>
    <w:p w14:paraId="18CA8990">
      <w:pPr>
        <w:pStyle w:val="2"/>
        <w:rPr>
          <w:rFonts w:hint="eastAsia"/>
        </w:rPr>
      </w:pPr>
      <w:r>
        <w:rPr>
          <w:rFonts w:hint="eastAsia"/>
        </w:rPr>
        <w:t xml:space="preserve">A(2), Nanda PK(2), Das S(4), Sarkar K(5), Thomas P(3), Verma A(3), Mukherjee </w:t>
      </w:r>
    </w:p>
    <w:p w14:paraId="7FE6B29D">
      <w:pPr>
        <w:pStyle w:val="2"/>
        <w:rPr>
          <w:rFonts w:hint="eastAsia"/>
        </w:rPr>
      </w:pPr>
      <w:r>
        <w:rPr>
          <w:rFonts w:hint="eastAsia"/>
        </w:rPr>
        <w:t>A(6), De S(7).</w:t>
      </w:r>
    </w:p>
    <w:p w14:paraId="26660EC1">
      <w:pPr>
        <w:pStyle w:val="2"/>
        <w:rPr>
          <w:rFonts w:hint="eastAsia"/>
        </w:rPr>
      </w:pPr>
    </w:p>
    <w:p w14:paraId="5881BC74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2C49831F">
      <w:pPr>
        <w:pStyle w:val="2"/>
        <w:rPr>
          <w:rFonts w:hint="eastAsia"/>
        </w:rPr>
      </w:pPr>
      <w:r>
        <w:rPr>
          <w:rFonts w:hint="eastAsia"/>
        </w:rPr>
        <w:t xml:space="preserve">(1)Department of Microbiology, University of Kalyani, Kalyani, Nadia, West </w:t>
      </w:r>
    </w:p>
    <w:p w14:paraId="04B500EF">
      <w:pPr>
        <w:pStyle w:val="2"/>
        <w:rPr>
          <w:rFonts w:hint="eastAsia"/>
        </w:rPr>
      </w:pPr>
      <w:r>
        <w:rPr>
          <w:rFonts w:hint="eastAsia"/>
        </w:rPr>
        <w:t>Bengal, 741 235, India.</w:t>
      </w:r>
    </w:p>
    <w:p w14:paraId="2F9F2749">
      <w:pPr>
        <w:pStyle w:val="2"/>
        <w:rPr>
          <w:rFonts w:hint="eastAsia"/>
        </w:rPr>
      </w:pPr>
      <w:r>
        <w:rPr>
          <w:rFonts w:hint="eastAsia"/>
        </w:rPr>
        <w:t xml:space="preserve">(2)ICAR-Indian Veterinary Research Institute, Eastern Regional Station, Kolkata, </w:t>
      </w:r>
    </w:p>
    <w:p w14:paraId="31BA0CBE">
      <w:pPr>
        <w:pStyle w:val="2"/>
        <w:rPr>
          <w:rFonts w:hint="eastAsia"/>
        </w:rPr>
      </w:pPr>
      <w:r>
        <w:rPr>
          <w:rFonts w:hint="eastAsia"/>
        </w:rPr>
        <w:t>700 037, India.</w:t>
      </w:r>
    </w:p>
    <w:p w14:paraId="13D646CD">
      <w:pPr>
        <w:pStyle w:val="2"/>
        <w:rPr>
          <w:rFonts w:hint="eastAsia"/>
        </w:rPr>
      </w:pPr>
      <w:r>
        <w:rPr>
          <w:rFonts w:hint="eastAsia"/>
        </w:rPr>
        <w:t xml:space="preserve">(3)ICAR-Indian Veterinary Research Institute, Izatnagar, Uttar Pradesh, 243 122, </w:t>
      </w:r>
    </w:p>
    <w:p w14:paraId="7157485A">
      <w:pPr>
        <w:pStyle w:val="2"/>
        <w:rPr>
          <w:rFonts w:hint="eastAsia"/>
        </w:rPr>
      </w:pPr>
      <w:r>
        <w:rPr>
          <w:rFonts w:hint="eastAsia"/>
        </w:rPr>
        <w:t>India.</w:t>
      </w:r>
    </w:p>
    <w:p w14:paraId="204A8717">
      <w:pPr>
        <w:pStyle w:val="2"/>
        <w:rPr>
          <w:rFonts w:hint="eastAsia"/>
        </w:rPr>
      </w:pPr>
      <w:r>
        <w:rPr>
          <w:rFonts w:hint="eastAsia"/>
        </w:rPr>
        <w:t xml:space="preserve">(4)Faculty of Veterinary and Animal Sciences, West Bengal University of Animal </w:t>
      </w:r>
    </w:p>
    <w:p w14:paraId="6786D25E">
      <w:pPr>
        <w:pStyle w:val="2"/>
        <w:rPr>
          <w:rFonts w:hint="eastAsia"/>
        </w:rPr>
      </w:pPr>
      <w:r>
        <w:rPr>
          <w:rFonts w:hint="eastAsia"/>
        </w:rPr>
        <w:t>and Fishery Sciences, Mohanpur, West Bengal, 741 252, India.</w:t>
      </w:r>
    </w:p>
    <w:p w14:paraId="5CDC169B">
      <w:pPr>
        <w:pStyle w:val="2"/>
        <w:rPr>
          <w:rFonts w:hint="eastAsia"/>
        </w:rPr>
      </w:pPr>
      <w:r>
        <w:rPr>
          <w:rFonts w:hint="eastAsia"/>
        </w:rPr>
        <w:t xml:space="preserve">(5)Department of Microbiology, University of Kalyani, Kalyani, Nadia, West </w:t>
      </w:r>
    </w:p>
    <w:p w14:paraId="3B9910B8">
      <w:pPr>
        <w:pStyle w:val="2"/>
        <w:rPr>
          <w:rFonts w:hint="eastAsia"/>
        </w:rPr>
      </w:pPr>
      <w:r>
        <w:rPr>
          <w:rFonts w:hint="eastAsia"/>
        </w:rPr>
        <w:t>Bengal, 741 235, India. keka@klyuniv.ac.in.</w:t>
      </w:r>
    </w:p>
    <w:p w14:paraId="1950A2EC">
      <w:pPr>
        <w:pStyle w:val="2"/>
        <w:rPr>
          <w:rFonts w:hint="eastAsia"/>
        </w:rPr>
      </w:pPr>
      <w:r>
        <w:rPr>
          <w:rFonts w:hint="eastAsia"/>
        </w:rPr>
        <w:t xml:space="preserve">(6)Faculty of Veterinary and Animal Sciences, West Bengal University of Animal </w:t>
      </w:r>
    </w:p>
    <w:p w14:paraId="7BB9A95A">
      <w:pPr>
        <w:pStyle w:val="2"/>
        <w:rPr>
          <w:rFonts w:hint="eastAsia"/>
        </w:rPr>
      </w:pPr>
      <w:r>
        <w:rPr>
          <w:rFonts w:hint="eastAsia"/>
        </w:rPr>
        <w:t xml:space="preserve">and Fishery Sciences, Mohanpur, West Bengal, 741 252, India. </w:t>
      </w:r>
    </w:p>
    <w:p w14:paraId="57C18FA6">
      <w:pPr>
        <w:pStyle w:val="2"/>
        <w:rPr>
          <w:rFonts w:hint="eastAsia"/>
        </w:rPr>
      </w:pPr>
      <w:r>
        <w:rPr>
          <w:rFonts w:hint="eastAsia"/>
        </w:rPr>
        <w:t>dramukherjee@wbuafscl.ac.in.</w:t>
      </w:r>
    </w:p>
    <w:p w14:paraId="78DDB9CE">
      <w:pPr>
        <w:pStyle w:val="2"/>
        <w:rPr>
          <w:rFonts w:hint="eastAsia"/>
        </w:rPr>
      </w:pPr>
      <w:r>
        <w:rPr>
          <w:rFonts w:hint="eastAsia"/>
        </w:rPr>
        <w:t xml:space="preserve">(7)Animal Biotechnology Center, ICAR-National Dairy Research Institute, Karnal, </w:t>
      </w:r>
    </w:p>
    <w:p w14:paraId="2694EAE8">
      <w:pPr>
        <w:pStyle w:val="2"/>
        <w:rPr>
          <w:rFonts w:hint="eastAsia"/>
        </w:rPr>
      </w:pPr>
      <w:r>
        <w:rPr>
          <w:rFonts w:hint="eastAsia"/>
        </w:rPr>
        <w:t>Haryana, 132 001, India. sachinandan@gmail.com.</w:t>
      </w:r>
    </w:p>
    <w:p w14:paraId="7B0CB6C2">
      <w:pPr>
        <w:pStyle w:val="2"/>
        <w:rPr>
          <w:rFonts w:hint="eastAsia"/>
        </w:rPr>
      </w:pPr>
    </w:p>
    <w:p w14:paraId="0C4D0AC9">
      <w:pPr>
        <w:pStyle w:val="2"/>
        <w:rPr>
          <w:rFonts w:hint="eastAsia"/>
        </w:rPr>
      </w:pPr>
      <w:r>
        <w:rPr>
          <w:rFonts w:hint="eastAsia"/>
        </w:rPr>
        <w:t xml:space="preserve">Mycobacterium orygis, a member species of Mycobacterium tuberculosis complex </w:t>
      </w:r>
    </w:p>
    <w:p w14:paraId="5B07462C">
      <w:pPr>
        <w:pStyle w:val="2"/>
        <w:rPr>
          <w:rFonts w:hint="eastAsia"/>
        </w:rPr>
      </w:pPr>
      <w:r>
        <w:rPr>
          <w:rFonts w:hint="eastAsia"/>
        </w:rPr>
        <w:t xml:space="preserve">(MTBC), is emerging as a major threat to the control of zoonotic tuberculosis. </w:t>
      </w:r>
    </w:p>
    <w:p w14:paraId="4573437E">
      <w:pPr>
        <w:pStyle w:val="2"/>
        <w:rPr>
          <w:rFonts w:hint="eastAsia"/>
        </w:rPr>
      </w:pPr>
      <w:r>
        <w:rPr>
          <w:rFonts w:hint="eastAsia"/>
        </w:rPr>
        <w:t xml:space="preserve">The lack of low-cost diagnostic assays to differentiate M. orygis from other </w:t>
      </w:r>
    </w:p>
    <w:p w14:paraId="768CA2CE">
      <w:pPr>
        <w:pStyle w:val="2"/>
        <w:rPr>
          <w:rFonts w:hint="eastAsia"/>
        </w:rPr>
      </w:pPr>
      <w:r>
        <w:rPr>
          <w:rFonts w:hint="eastAsia"/>
        </w:rPr>
        <w:t xml:space="preserve">MTBC members has created a critical data gap in estimating its true burden in </w:t>
      </w:r>
    </w:p>
    <w:p w14:paraId="155721E8">
      <w:pPr>
        <w:pStyle w:val="2"/>
        <w:rPr>
          <w:rFonts w:hint="eastAsia"/>
        </w:rPr>
      </w:pPr>
      <w:r>
        <w:rPr>
          <w:rFonts w:hint="eastAsia"/>
        </w:rPr>
        <w:t xml:space="preserve">human and animal populations, especially in the Asian subcontinent. In this </w:t>
      </w:r>
    </w:p>
    <w:p w14:paraId="2E961679">
      <w:pPr>
        <w:pStyle w:val="2"/>
        <w:rPr>
          <w:rFonts w:hint="eastAsia"/>
        </w:rPr>
      </w:pPr>
      <w:r>
        <w:rPr>
          <w:rFonts w:hint="eastAsia"/>
        </w:rPr>
        <w:t xml:space="preserve">study, a multiplex PCR assay was developed to distinguish M. orygis from other </w:t>
      </w:r>
    </w:p>
    <w:p w14:paraId="6C08B8AE">
      <w:pPr>
        <w:pStyle w:val="2"/>
        <w:rPr>
          <w:rFonts w:hint="eastAsia"/>
        </w:rPr>
      </w:pPr>
      <w:r>
        <w:rPr>
          <w:rFonts w:hint="eastAsia"/>
        </w:rPr>
        <w:t xml:space="preserve">MTBCs, based on two M. orygis-specific non-synonymous point mutations in the </w:t>
      </w:r>
    </w:p>
    <w:p w14:paraId="24EE5FC9">
      <w:pPr>
        <w:pStyle w:val="2"/>
        <w:rPr>
          <w:rFonts w:hint="eastAsia"/>
        </w:rPr>
      </w:pPr>
      <w:r>
        <w:rPr>
          <w:rFonts w:hint="eastAsia"/>
        </w:rPr>
        <w:t xml:space="preserve">mbtG and fadD23 genes. The assay exhibited a limit of detection (LOD) of 32 pg </w:t>
      </w:r>
    </w:p>
    <w:p w14:paraId="4993CC2A">
      <w:pPr>
        <w:pStyle w:val="2"/>
        <w:rPr>
          <w:rFonts w:hint="eastAsia"/>
        </w:rPr>
      </w:pPr>
      <w:r>
        <w:rPr>
          <w:rFonts w:hint="eastAsia"/>
        </w:rPr>
        <w:t xml:space="preserve">for M. orygis DNA and demonstrated high specificity by amplifying a 434 bp </w:t>
      </w:r>
    </w:p>
    <w:p w14:paraId="16BF4E90">
      <w:pPr>
        <w:pStyle w:val="2"/>
        <w:rPr>
          <w:rFonts w:hint="eastAsia"/>
        </w:rPr>
      </w:pPr>
      <w:r>
        <w:rPr>
          <w:rFonts w:hint="eastAsia"/>
        </w:rPr>
        <w:t xml:space="preserve">IS1081 gene fragment from common members of the MTBC, including M. orygis. Also, </w:t>
      </w:r>
    </w:p>
    <w:p w14:paraId="0AC31EC7">
      <w:pPr>
        <w:pStyle w:val="2"/>
        <w:rPr>
          <w:rFonts w:hint="eastAsia"/>
        </w:rPr>
      </w:pPr>
      <w:r>
        <w:rPr>
          <w:rFonts w:hint="eastAsia"/>
        </w:rPr>
        <w:t xml:space="preserve">240 bp and 181 bp fragments of the mbtG and fadD23 gene fragments were amplified </w:t>
      </w:r>
    </w:p>
    <w:p w14:paraId="0C5B2BB8">
      <w:pPr>
        <w:pStyle w:val="2"/>
        <w:rPr>
          <w:rFonts w:hint="eastAsia"/>
        </w:rPr>
      </w:pPr>
      <w:r>
        <w:rPr>
          <w:rFonts w:hint="eastAsia"/>
        </w:rPr>
        <w:t xml:space="preserve">exclusively from M. orygis. Conversely, the assay showed no amplification with </w:t>
      </w:r>
    </w:p>
    <w:p w14:paraId="189F6AA6">
      <w:pPr>
        <w:pStyle w:val="2"/>
        <w:rPr>
          <w:rFonts w:hint="eastAsia"/>
        </w:rPr>
      </w:pPr>
      <w:r>
        <w:rPr>
          <w:rFonts w:hint="eastAsia"/>
        </w:rPr>
        <w:t xml:space="preserve">non-tuberculous Mycobacterium or other non-mycobacterial pathogens. Furthermore, </w:t>
      </w:r>
    </w:p>
    <w:p w14:paraId="1DA0AB23">
      <w:pPr>
        <w:pStyle w:val="2"/>
        <w:rPr>
          <w:rFonts w:hint="eastAsia"/>
        </w:rPr>
      </w:pPr>
      <w:r>
        <w:rPr>
          <w:rFonts w:hint="eastAsia"/>
        </w:rPr>
        <w:t xml:space="preserve">tuberculous-like lesions in the different tissues (n = 135) of slaughtered </w:t>
      </w:r>
    </w:p>
    <w:p w14:paraId="2C889369">
      <w:pPr>
        <w:pStyle w:val="2"/>
        <w:rPr>
          <w:rFonts w:hint="eastAsia"/>
        </w:rPr>
      </w:pPr>
      <w:r>
        <w:rPr>
          <w:rFonts w:hint="eastAsia"/>
        </w:rPr>
        <w:t xml:space="preserve">cattle were tested for the identification of M. orygis. An established TaqMan </w:t>
      </w:r>
    </w:p>
    <w:p w14:paraId="5221AA86">
      <w:pPr>
        <w:pStyle w:val="2"/>
        <w:rPr>
          <w:rFonts w:hint="eastAsia"/>
        </w:rPr>
      </w:pPr>
      <w:r>
        <w:rPr>
          <w:rFonts w:hint="eastAsia"/>
        </w:rPr>
        <w:t xml:space="preserve">real-time PCR assay carried out to validate the result by targeting regions of </w:t>
      </w:r>
    </w:p>
    <w:p w14:paraId="781821CF">
      <w:pPr>
        <w:pStyle w:val="2"/>
        <w:rPr>
          <w:rFonts w:hint="eastAsia"/>
        </w:rPr>
      </w:pPr>
      <w:r>
        <w:rPr>
          <w:rFonts w:hint="eastAsia"/>
        </w:rPr>
        <w:t xml:space="preserve">difference in the M. orygis genome of the assay showed high accuracy of the </w:t>
      </w:r>
    </w:p>
    <w:p w14:paraId="2C4E4582">
      <w:pPr>
        <w:pStyle w:val="2"/>
        <w:rPr>
          <w:rFonts w:hint="eastAsia"/>
        </w:rPr>
      </w:pPr>
      <w:r>
        <w:rPr>
          <w:rFonts w:hint="eastAsia"/>
        </w:rPr>
        <w:t>in-house developed multiplex PCR.</w:t>
      </w:r>
    </w:p>
    <w:p w14:paraId="205EA8EF">
      <w:pPr>
        <w:pStyle w:val="2"/>
        <w:rPr>
          <w:rFonts w:hint="eastAsia"/>
        </w:rPr>
      </w:pPr>
    </w:p>
    <w:p w14:paraId="2FD6A6AA">
      <w:pPr>
        <w:pStyle w:val="2"/>
        <w:rPr>
          <w:rFonts w:hint="eastAsia"/>
        </w:rPr>
      </w:pPr>
      <w:r>
        <w:rPr>
          <w:rFonts w:hint="eastAsia"/>
        </w:rPr>
        <w:t>© 2026. The Author(s), under exclusive licence to Springer Nature B.V.</w:t>
      </w:r>
    </w:p>
    <w:p w14:paraId="3208FA77">
      <w:pPr>
        <w:pStyle w:val="2"/>
        <w:rPr>
          <w:rFonts w:hint="eastAsia"/>
        </w:rPr>
      </w:pPr>
    </w:p>
    <w:p w14:paraId="405ABBD4">
      <w:pPr>
        <w:pStyle w:val="2"/>
        <w:rPr>
          <w:rFonts w:hint="eastAsia"/>
        </w:rPr>
      </w:pPr>
      <w:r>
        <w:rPr>
          <w:rFonts w:hint="eastAsia"/>
        </w:rPr>
        <w:t>DOI: 10.1007/s11250-026-05297-y</w:t>
      </w:r>
    </w:p>
    <w:p w14:paraId="76F89815">
      <w:pPr>
        <w:pStyle w:val="2"/>
        <w:rPr>
          <w:rFonts w:hint="eastAsia"/>
        </w:rPr>
      </w:pPr>
      <w:r>
        <w:rPr>
          <w:rFonts w:hint="eastAsia"/>
        </w:rPr>
        <w:t>PMID: 42859325 [Indexed for MEDLINE]</w:t>
      </w:r>
    </w:p>
    <w:p w14:paraId="4D242FD9">
      <w:pPr>
        <w:pStyle w:val="2"/>
        <w:rPr>
          <w:rFonts w:hint="eastAsia"/>
        </w:rPr>
      </w:pPr>
    </w:p>
    <w:p w14:paraId="0206EA92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6</w:t>
      </w:r>
      <w:r>
        <w:rPr>
          <w:rFonts w:hint="eastAsia"/>
          <w:b/>
          <w:bCs/>
          <w:color w:val="FF0000"/>
        </w:rPr>
        <w:t>. Mol Biol Rep. 2026 Oct 10;53(1):1694. doi: 10.1007/s11033-026-12869-6.</w:t>
      </w:r>
    </w:p>
    <w:p w14:paraId="45A76739">
      <w:pPr>
        <w:pStyle w:val="2"/>
        <w:rPr>
          <w:rFonts w:hint="eastAsia"/>
        </w:rPr>
      </w:pPr>
    </w:p>
    <w:p w14:paraId="3CAA92D7">
      <w:pPr>
        <w:pStyle w:val="2"/>
        <w:rPr>
          <w:rFonts w:hint="eastAsia"/>
        </w:rPr>
      </w:pPr>
      <w:r>
        <w:rPr>
          <w:rFonts w:hint="eastAsia"/>
        </w:rPr>
        <w:t xml:space="preserve">Flavonoids in treatment of tuberculosis: from molecular mechanisms to structure </w:t>
      </w:r>
    </w:p>
    <w:p w14:paraId="4890F538">
      <w:pPr>
        <w:pStyle w:val="2"/>
        <w:rPr>
          <w:rFonts w:hint="eastAsia"/>
        </w:rPr>
      </w:pPr>
      <w:r>
        <w:rPr>
          <w:rFonts w:hint="eastAsia"/>
        </w:rPr>
        <w:t>activity relationships.</w:t>
      </w:r>
    </w:p>
    <w:p w14:paraId="38E166F2">
      <w:pPr>
        <w:pStyle w:val="2"/>
        <w:rPr>
          <w:rFonts w:hint="eastAsia"/>
        </w:rPr>
      </w:pPr>
    </w:p>
    <w:p w14:paraId="67B6DE66">
      <w:pPr>
        <w:pStyle w:val="2"/>
        <w:rPr>
          <w:rFonts w:hint="eastAsia"/>
        </w:rPr>
      </w:pPr>
      <w:r>
        <w:rPr>
          <w:rFonts w:hint="eastAsia"/>
        </w:rPr>
        <w:t>Bansal A(1), Sharma D(2), Yadav S(3), Kumar V(4), Sharma V(5).</w:t>
      </w:r>
    </w:p>
    <w:p w14:paraId="28634932">
      <w:pPr>
        <w:pStyle w:val="2"/>
        <w:rPr>
          <w:rFonts w:hint="eastAsia"/>
        </w:rPr>
      </w:pPr>
    </w:p>
    <w:p w14:paraId="28568166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7DD1FC96">
      <w:pPr>
        <w:pStyle w:val="2"/>
        <w:rPr>
          <w:rFonts w:hint="eastAsia"/>
        </w:rPr>
      </w:pPr>
      <w:r>
        <w:rPr>
          <w:rFonts w:hint="eastAsia"/>
        </w:rPr>
        <w:t xml:space="preserve">(1)M.M. College of Pharmacy, Maharishi Markandeshwar (Deemed to be University), </w:t>
      </w:r>
    </w:p>
    <w:p w14:paraId="30143A96">
      <w:pPr>
        <w:pStyle w:val="2"/>
        <w:rPr>
          <w:rFonts w:hint="eastAsia"/>
        </w:rPr>
      </w:pPr>
      <w:r>
        <w:rPr>
          <w:rFonts w:hint="eastAsia"/>
        </w:rPr>
        <w:t>Mullana, Ambala, 133207, India.</w:t>
      </w:r>
    </w:p>
    <w:p w14:paraId="77E7E798">
      <w:pPr>
        <w:pStyle w:val="2"/>
        <w:rPr>
          <w:rFonts w:hint="eastAsia"/>
        </w:rPr>
      </w:pPr>
      <w:r>
        <w:rPr>
          <w:rFonts w:hint="eastAsia"/>
        </w:rPr>
        <w:t xml:space="preserve">(2)Department of Pharmaceutical Chemistry, Swami Devi Dyal Institute of </w:t>
      </w:r>
    </w:p>
    <w:p w14:paraId="13601620">
      <w:pPr>
        <w:pStyle w:val="2"/>
        <w:rPr>
          <w:rFonts w:hint="eastAsia"/>
        </w:rPr>
      </w:pPr>
      <w:r>
        <w:rPr>
          <w:rFonts w:hint="eastAsia"/>
        </w:rPr>
        <w:t>Pharmacy, Golpura, Barwala, 134118, India.</w:t>
      </w:r>
    </w:p>
    <w:p w14:paraId="32C19043">
      <w:pPr>
        <w:pStyle w:val="2"/>
        <w:rPr>
          <w:rFonts w:hint="eastAsia"/>
        </w:rPr>
      </w:pPr>
      <w:r>
        <w:rPr>
          <w:rFonts w:hint="eastAsia"/>
        </w:rPr>
        <w:t xml:space="preserve">(3)Centre of Excellence in Pharmaceutical Sciences, Guru Gobind Singh </w:t>
      </w:r>
    </w:p>
    <w:p w14:paraId="545F0007">
      <w:pPr>
        <w:pStyle w:val="2"/>
        <w:rPr>
          <w:rFonts w:hint="eastAsia"/>
        </w:rPr>
      </w:pPr>
      <w:r>
        <w:rPr>
          <w:rFonts w:hint="eastAsia"/>
        </w:rPr>
        <w:t>Indraprastha University, New Delhi, 110078, India.</w:t>
      </w:r>
    </w:p>
    <w:p w14:paraId="12C9D8E8">
      <w:pPr>
        <w:pStyle w:val="2"/>
        <w:rPr>
          <w:rFonts w:hint="eastAsia"/>
        </w:rPr>
      </w:pPr>
      <w:r>
        <w:rPr>
          <w:rFonts w:hint="eastAsia"/>
        </w:rPr>
        <w:t xml:space="preserve">(4)College of Pharmacy, Pandit Bhagwat Dayal Sharma University of Health </w:t>
      </w:r>
    </w:p>
    <w:p w14:paraId="726EFB29">
      <w:pPr>
        <w:pStyle w:val="2"/>
        <w:rPr>
          <w:rFonts w:hint="eastAsia"/>
        </w:rPr>
      </w:pPr>
      <w:r>
        <w:rPr>
          <w:rFonts w:hint="eastAsia"/>
        </w:rPr>
        <w:t>Sciences, Rohtak, 124001, India.</w:t>
      </w:r>
    </w:p>
    <w:p w14:paraId="55D08365">
      <w:pPr>
        <w:pStyle w:val="2"/>
        <w:rPr>
          <w:rFonts w:hint="eastAsia"/>
        </w:rPr>
      </w:pPr>
      <w:r>
        <w:rPr>
          <w:rFonts w:hint="eastAsia"/>
        </w:rPr>
        <w:t xml:space="preserve">(5)M.M. College of Pharmacy, Maharishi Markandeshwar (Deemed to be University), </w:t>
      </w:r>
    </w:p>
    <w:p w14:paraId="4D486B97">
      <w:pPr>
        <w:pStyle w:val="2"/>
        <w:rPr>
          <w:rFonts w:hint="eastAsia"/>
        </w:rPr>
      </w:pPr>
      <w:r>
        <w:rPr>
          <w:rFonts w:hint="eastAsia"/>
        </w:rPr>
        <w:t>Mullana, Ambala, 133207, India. vishalsharma19793@gmail.com.</w:t>
      </w:r>
    </w:p>
    <w:p w14:paraId="2E0C19D1">
      <w:pPr>
        <w:pStyle w:val="2"/>
        <w:rPr>
          <w:rFonts w:hint="eastAsia"/>
        </w:rPr>
      </w:pPr>
    </w:p>
    <w:p w14:paraId="30FED89F">
      <w:pPr>
        <w:pStyle w:val="2"/>
        <w:rPr>
          <w:rFonts w:hint="eastAsia"/>
        </w:rPr>
      </w:pPr>
      <w:r>
        <w:rPr>
          <w:rFonts w:hint="eastAsia"/>
        </w:rPr>
        <w:t xml:space="preserve">Tuberculosis (TB) being caused by M. tuberculosis is a major global health </w:t>
      </w:r>
    </w:p>
    <w:p w14:paraId="5C896C78">
      <w:pPr>
        <w:pStyle w:val="2"/>
        <w:rPr>
          <w:rFonts w:hint="eastAsia"/>
        </w:rPr>
      </w:pPr>
      <w:r>
        <w:rPr>
          <w:rFonts w:hint="eastAsia"/>
        </w:rPr>
        <w:t xml:space="preserve">burden especially in low and middle income countries especially with the rise of </w:t>
      </w:r>
    </w:p>
    <w:p w14:paraId="02DD87B9">
      <w:pPr>
        <w:pStyle w:val="2"/>
        <w:rPr>
          <w:rFonts w:hint="eastAsia"/>
        </w:rPr>
      </w:pPr>
      <w:r>
        <w:rPr>
          <w:rFonts w:hint="eastAsia"/>
        </w:rPr>
        <w:t xml:space="preserve">drug resistant (MDR/RR- TB) strains and poor treatment outcomes. Limitations of </w:t>
      </w:r>
    </w:p>
    <w:p w14:paraId="1C4B037C">
      <w:pPr>
        <w:pStyle w:val="2"/>
        <w:rPr>
          <w:rFonts w:hint="eastAsia"/>
        </w:rPr>
      </w:pPr>
      <w:r>
        <w:rPr>
          <w:rFonts w:hint="eastAsia"/>
        </w:rPr>
        <w:t xml:space="preserve">traditional anti-TB treatment, such as toxicity, cost and emerging drug </w:t>
      </w:r>
    </w:p>
    <w:p w14:paraId="5B4D5251">
      <w:pPr>
        <w:pStyle w:val="2"/>
        <w:rPr>
          <w:rFonts w:hint="eastAsia"/>
        </w:rPr>
      </w:pPr>
      <w:r>
        <w:rPr>
          <w:rFonts w:hint="eastAsia"/>
        </w:rPr>
        <w:t xml:space="preserve">resistance mean that the development of alternative therapy approaches is </w:t>
      </w:r>
    </w:p>
    <w:p w14:paraId="6E2E2C53">
      <w:pPr>
        <w:pStyle w:val="2"/>
        <w:rPr>
          <w:rFonts w:hint="eastAsia"/>
        </w:rPr>
      </w:pPr>
      <w:r>
        <w:rPr>
          <w:rFonts w:hint="eastAsia"/>
        </w:rPr>
        <w:t xml:space="preserve">needed. Flavonoids are a diverse group of plant-derived polyphenolic compounds </w:t>
      </w:r>
    </w:p>
    <w:p w14:paraId="233A6CD0">
      <w:pPr>
        <w:pStyle w:val="2"/>
        <w:rPr>
          <w:rFonts w:hint="eastAsia"/>
        </w:rPr>
      </w:pPr>
      <w:r>
        <w:rPr>
          <w:rFonts w:hint="eastAsia"/>
        </w:rPr>
        <w:t xml:space="preserve">which have received considerable attention because of their remarkable potent </w:t>
      </w:r>
    </w:p>
    <w:p w14:paraId="272D9B78">
      <w:pPr>
        <w:pStyle w:val="2"/>
        <w:rPr>
          <w:rFonts w:hint="eastAsia"/>
        </w:rPr>
      </w:pPr>
      <w:r>
        <w:rPr>
          <w:rFonts w:hint="eastAsia"/>
        </w:rPr>
        <w:t xml:space="preserve">anti- mycobacterial and host directed therapeutic properties. This review </w:t>
      </w:r>
    </w:p>
    <w:p w14:paraId="6B935F6A">
      <w:pPr>
        <w:pStyle w:val="2"/>
        <w:rPr>
          <w:rFonts w:hint="eastAsia"/>
        </w:rPr>
      </w:pPr>
      <w:r>
        <w:rPr>
          <w:rFonts w:hint="eastAsia"/>
        </w:rPr>
        <w:t xml:space="preserve">provides a comprehensive overview of the mechanisms underlying the </w:t>
      </w:r>
    </w:p>
    <w:p w14:paraId="23283CF9">
      <w:pPr>
        <w:pStyle w:val="2"/>
        <w:rPr>
          <w:rFonts w:hint="eastAsia"/>
        </w:rPr>
      </w:pPr>
      <w:r>
        <w:rPr>
          <w:rFonts w:hint="eastAsia"/>
        </w:rPr>
        <w:t xml:space="preserve">antitubercular effects of flavonoids such as reducing oxidative stress, </w:t>
      </w:r>
    </w:p>
    <w:p w14:paraId="7C2B6AE2">
      <w:pPr>
        <w:pStyle w:val="2"/>
        <w:rPr>
          <w:rFonts w:hint="eastAsia"/>
        </w:rPr>
      </w:pPr>
      <w:r>
        <w:rPr>
          <w:rFonts w:hint="eastAsia"/>
        </w:rPr>
        <w:t xml:space="preserve">disruption of integrity of mycobacterial cell wall, inhibition of efflux pumps, </w:t>
      </w:r>
    </w:p>
    <w:p w14:paraId="60D2622A">
      <w:pPr>
        <w:pStyle w:val="2"/>
        <w:rPr>
          <w:rFonts w:hint="eastAsia"/>
        </w:rPr>
      </w:pPr>
      <w:r>
        <w:rPr>
          <w:rFonts w:hint="eastAsia"/>
        </w:rPr>
        <w:t xml:space="preserve">modulation of the MAPK/ERK signaling pathway, Interference of DNA replication, </w:t>
      </w:r>
    </w:p>
    <w:p w14:paraId="332E9985">
      <w:pPr>
        <w:pStyle w:val="2"/>
        <w:rPr>
          <w:rFonts w:hint="eastAsia"/>
        </w:rPr>
      </w:pPr>
      <w:r>
        <w:rPr>
          <w:rFonts w:hint="eastAsia"/>
        </w:rPr>
        <w:t xml:space="preserve">nucleic acid synthesis and energy metabolism. Their multi-targeted actions </w:t>
      </w:r>
    </w:p>
    <w:p w14:paraId="36B4B00B">
      <w:pPr>
        <w:pStyle w:val="2"/>
        <w:rPr>
          <w:rFonts w:hint="eastAsia"/>
        </w:rPr>
      </w:pPr>
      <w:r>
        <w:rPr>
          <w:rFonts w:hint="eastAsia"/>
        </w:rPr>
        <w:t xml:space="preserve">increase therapeutic ability and reduce the chances of the development of </w:t>
      </w:r>
    </w:p>
    <w:p w14:paraId="026F4D2E">
      <w:pPr>
        <w:pStyle w:val="2"/>
        <w:rPr>
          <w:rFonts w:hint="eastAsia"/>
        </w:rPr>
      </w:pPr>
      <w:r>
        <w:rPr>
          <w:rFonts w:hint="eastAsia"/>
        </w:rPr>
        <w:t xml:space="preserve">resistance. The clinical translation of flavonoids is constrained by a number of </w:t>
      </w:r>
    </w:p>
    <w:p w14:paraId="4BAFFB94">
      <w:pPr>
        <w:pStyle w:val="2"/>
        <w:rPr>
          <w:rFonts w:hint="eastAsia"/>
        </w:rPr>
      </w:pPr>
      <w:r>
        <w:rPr>
          <w:rFonts w:hint="eastAsia"/>
        </w:rPr>
        <w:t xml:space="preserve">pharmacokinetic &amp; safety-related problems, including low oral bioavailability, </w:t>
      </w:r>
    </w:p>
    <w:p w14:paraId="1C121BAA">
      <w:pPr>
        <w:pStyle w:val="2"/>
        <w:rPr>
          <w:rFonts w:hint="eastAsia"/>
        </w:rPr>
      </w:pPr>
      <w:r>
        <w:rPr>
          <w:rFonts w:hint="eastAsia"/>
        </w:rPr>
        <w:t xml:space="preserve">metabolic stability, toxicity, and poor water solubility, which can limit their </w:t>
      </w:r>
    </w:p>
    <w:p w14:paraId="71DF830C">
      <w:pPr>
        <w:pStyle w:val="2"/>
        <w:rPr>
          <w:rFonts w:hint="eastAsia"/>
        </w:rPr>
      </w:pPr>
      <w:r>
        <w:rPr>
          <w:rFonts w:hint="eastAsia"/>
        </w:rPr>
        <w:t xml:space="preserve">systemic exposure. However, structural modifications to flavonoids have served </w:t>
      </w:r>
    </w:p>
    <w:p w14:paraId="1ECE13D4">
      <w:pPr>
        <w:pStyle w:val="2"/>
        <w:rPr>
          <w:rFonts w:hint="eastAsia"/>
        </w:rPr>
      </w:pPr>
      <w:r>
        <w:rPr>
          <w:rFonts w:hint="eastAsia"/>
        </w:rPr>
        <w:t xml:space="preserve">to overcome these shortcomings and make them efficient in combating bacterial </w:t>
      </w:r>
    </w:p>
    <w:p w14:paraId="06711FB6">
      <w:pPr>
        <w:pStyle w:val="2"/>
        <w:rPr>
          <w:rFonts w:hint="eastAsia"/>
        </w:rPr>
      </w:pPr>
      <w:r>
        <w:rPr>
          <w:rFonts w:hint="eastAsia"/>
        </w:rPr>
        <w:t xml:space="preserve">infections. The SAR studies underscore the fact that biological activity is </w:t>
      </w:r>
    </w:p>
    <w:p w14:paraId="3CDD134F">
      <w:pPr>
        <w:pStyle w:val="2"/>
        <w:rPr>
          <w:rFonts w:hint="eastAsia"/>
        </w:rPr>
      </w:pPr>
      <w:r>
        <w:rPr>
          <w:rFonts w:hint="eastAsia"/>
        </w:rPr>
        <w:t xml:space="preserve">strongly affected by the pattern of hydroxylation, molecular planarity, and </w:t>
      </w:r>
    </w:p>
    <w:p w14:paraId="73F503C0">
      <w:pPr>
        <w:pStyle w:val="2"/>
        <w:rPr>
          <w:rFonts w:hint="eastAsia"/>
        </w:rPr>
      </w:pPr>
      <w:r>
        <w:rPr>
          <w:rFonts w:hint="eastAsia"/>
        </w:rPr>
        <w:t xml:space="preserve">lipophilicity. Key aspects like C2 = C3 double bond, B-ring catechol moieties </w:t>
      </w:r>
    </w:p>
    <w:p w14:paraId="566F59CE">
      <w:pPr>
        <w:pStyle w:val="2"/>
        <w:rPr>
          <w:rFonts w:hint="eastAsia"/>
        </w:rPr>
      </w:pPr>
      <w:r>
        <w:rPr>
          <w:rFonts w:hint="eastAsia"/>
        </w:rPr>
        <w:t xml:space="preserve">and lipophilic substitutions increase target binding and cellular permeability </w:t>
      </w:r>
    </w:p>
    <w:p w14:paraId="7989DDB0">
      <w:pPr>
        <w:pStyle w:val="2"/>
        <w:rPr>
          <w:rFonts w:hint="eastAsia"/>
        </w:rPr>
      </w:pPr>
      <w:r>
        <w:rPr>
          <w:rFonts w:hint="eastAsia"/>
        </w:rPr>
        <w:t xml:space="preserve">whereas excessive methylation or glycosylation decreases activity. Overall, </w:t>
      </w:r>
    </w:p>
    <w:p w14:paraId="59CE45E2">
      <w:pPr>
        <w:pStyle w:val="2"/>
        <w:rPr>
          <w:rFonts w:hint="eastAsia"/>
        </w:rPr>
      </w:pPr>
      <w:r>
        <w:rPr>
          <w:rFonts w:hint="eastAsia"/>
        </w:rPr>
        <w:t xml:space="preserve">flavonoids are promising inexpensive and less toxic candidates to develop novel </w:t>
      </w:r>
    </w:p>
    <w:p w14:paraId="6076145C">
      <w:pPr>
        <w:pStyle w:val="2"/>
        <w:rPr>
          <w:rFonts w:hint="eastAsia"/>
        </w:rPr>
      </w:pPr>
      <w:r>
        <w:rPr>
          <w:rFonts w:hint="eastAsia"/>
        </w:rPr>
        <w:t xml:space="preserve">anti-TB treatments, although it is important to conduct further research to </w:t>
      </w:r>
    </w:p>
    <w:p w14:paraId="40B41B9D">
      <w:pPr>
        <w:pStyle w:val="2"/>
        <w:rPr>
          <w:rFonts w:hint="eastAsia"/>
        </w:rPr>
      </w:pPr>
      <w:r>
        <w:rPr>
          <w:rFonts w:hint="eastAsia"/>
        </w:rPr>
        <w:t>optimize bioavailability and clinical applicability.</w:t>
      </w:r>
    </w:p>
    <w:p w14:paraId="72EEBEBB">
      <w:pPr>
        <w:pStyle w:val="2"/>
        <w:rPr>
          <w:rFonts w:hint="eastAsia"/>
        </w:rPr>
      </w:pPr>
    </w:p>
    <w:p w14:paraId="3E5C204D">
      <w:pPr>
        <w:pStyle w:val="2"/>
        <w:rPr>
          <w:rFonts w:hint="eastAsia"/>
        </w:rPr>
      </w:pPr>
      <w:r>
        <w:rPr>
          <w:rFonts w:hint="eastAsia"/>
        </w:rPr>
        <w:t>© 2026. The Author(s), under exclusive licence to Springer Nature B.V.</w:t>
      </w:r>
    </w:p>
    <w:p w14:paraId="185C98B0">
      <w:pPr>
        <w:pStyle w:val="2"/>
        <w:rPr>
          <w:rFonts w:hint="eastAsia"/>
        </w:rPr>
      </w:pPr>
    </w:p>
    <w:p w14:paraId="5C3293A4">
      <w:pPr>
        <w:pStyle w:val="2"/>
        <w:rPr>
          <w:rFonts w:hint="eastAsia"/>
        </w:rPr>
      </w:pPr>
      <w:r>
        <w:rPr>
          <w:rFonts w:hint="eastAsia"/>
        </w:rPr>
        <w:t>DOI: 10.1007/s11033-026-12869-6</w:t>
      </w:r>
    </w:p>
    <w:p w14:paraId="3BC65C91">
      <w:pPr>
        <w:pStyle w:val="2"/>
        <w:rPr>
          <w:rFonts w:hint="eastAsia"/>
        </w:rPr>
      </w:pPr>
      <w:r>
        <w:rPr>
          <w:rFonts w:hint="eastAsia"/>
        </w:rPr>
        <w:t>PMID: 42859278 [Indexed for MEDLINE]</w:t>
      </w:r>
    </w:p>
    <w:p w14:paraId="15AA3183">
      <w:pPr>
        <w:pStyle w:val="2"/>
        <w:rPr>
          <w:rFonts w:hint="eastAsia"/>
        </w:rPr>
      </w:pPr>
    </w:p>
    <w:p w14:paraId="0DAD4D67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7</w:t>
      </w:r>
      <w:r>
        <w:rPr>
          <w:rFonts w:hint="eastAsia"/>
          <w:b/>
          <w:bCs/>
          <w:color w:val="FF0000"/>
        </w:rPr>
        <w:t xml:space="preserve">. Int J Infect Dis. 2026 Oct 10:109179. doi: 10.1016/j.ijid.2026.109179. Online </w:t>
      </w:r>
    </w:p>
    <w:p w14:paraId="0E9BC80C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ahead of print.</w:t>
      </w:r>
    </w:p>
    <w:p w14:paraId="084714AC">
      <w:pPr>
        <w:pStyle w:val="2"/>
        <w:rPr>
          <w:rFonts w:hint="eastAsia"/>
        </w:rPr>
      </w:pPr>
    </w:p>
    <w:p w14:paraId="7D20E96F">
      <w:pPr>
        <w:pStyle w:val="2"/>
        <w:rPr>
          <w:rFonts w:hint="eastAsia"/>
        </w:rPr>
      </w:pPr>
      <w:r>
        <w:rPr>
          <w:rFonts w:hint="eastAsia"/>
        </w:rPr>
        <w:t xml:space="preserve">Risk and determinants of tuberculosis recurrence: a 12-year population-based </w:t>
      </w:r>
    </w:p>
    <w:p w14:paraId="154ED940">
      <w:pPr>
        <w:pStyle w:val="2"/>
        <w:rPr>
          <w:rFonts w:hint="eastAsia"/>
        </w:rPr>
      </w:pPr>
      <w:r>
        <w:rPr>
          <w:rFonts w:hint="eastAsia"/>
        </w:rPr>
        <w:t>cohort study.</w:t>
      </w:r>
    </w:p>
    <w:p w14:paraId="60AA9993">
      <w:pPr>
        <w:pStyle w:val="2"/>
        <w:rPr>
          <w:rFonts w:hint="eastAsia"/>
        </w:rPr>
      </w:pPr>
    </w:p>
    <w:p w14:paraId="6559A06B">
      <w:pPr>
        <w:pStyle w:val="2"/>
        <w:rPr>
          <w:rFonts w:hint="eastAsia"/>
        </w:rPr>
      </w:pPr>
      <w:r>
        <w:rPr>
          <w:rFonts w:hint="eastAsia"/>
        </w:rPr>
        <w:t xml:space="preserve">de Lima EL(1), Salles I(2), Cohn S(2), Lindoso AABP(3), Fukasava S(4), Golub </w:t>
      </w:r>
    </w:p>
    <w:p w14:paraId="3364B001">
      <w:pPr>
        <w:pStyle w:val="2"/>
        <w:rPr>
          <w:rFonts w:hint="eastAsia"/>
        </w:rPr>
      </w:pPr>
      <w:r>
        <w:rPr>
          <w:rFonts w:hint="eastAsia"/>
        </w:rPr>
        <w:t>JE(5), Cox SR(6).</w:t>
      </w:r>
    </w:p>
    <w:p w14:paraId="0DBFEEED">
      <w:pPr>
        <w:pStyle w:val="2"/>
        <w:rPr>
          <w:rFonts w:hint="eastAsia"/>
        </w:rPr>
      </w:pPr>
    </w:p>
    <w:p w14:paraId="4E08C738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52B5096A">
      <w:pPr>
        <w:pStyle w:val="2"/>
        <w:rPr>
          <w:rFonts w:hint="eastAsia"/>
        </w:rPr>
      </w:pPr>
      <w:r>
        <w:rPr>
          <w:rFonts w:hint="eastAsia"/>
        </w:rPr>
        <w:t xml:space="preserve">(1)Johns Hopkins Bloomberg School of Public Health, Baltimore, United States of </w:t>
      </w:r>
    </w:p>
    <w:p w14:paraId="5F0DC92B">
      <w:pPr>
        <w:pStyle w:val="2"/>
        <w:rPr>
          <w:rFonts w:hint="eastAsia"/>
        </w:rPr>
      </w:pPr>
      <w:r>
        <w:rPr>
          <w:rFonts w:hint="eastAsia"/>
        </w:rPr>
        <w:t xml:space="preserve">America; Tuberculosis Control Program, Municipal Health Secretariat of Guarujá, </w:t>
      </w:r>
    </w:p>
    <w:p w14:paraId="5446F39C">
      <w:pPr>
        <w:pStyle w:val="2"/>
        <w:rPr>
          <w:rFonts w:hint="eastAsia"/>
        </w:rPr>
      </w:pPr>
      <w:r>
        <w:rPr>
          <w:rFonts w:hint="eastAsia"/>
        </w:rPr>
        <w:t>Guarujá, São Paulo, Brazil. Electronic address: evelynlepka@gmail.com.</w:t>
      </w:r>
    </w:p>
    <w:p w14:paraId="64DAF901">
      <w:pPr>
        <w:pStyle w:val="2"/>
        <w:rPr>
          <w:rFonts w:hint="eastAsia"/>
        </w:rPr>
      </w:pPr>
      <w:r>
        <w:rPr>
          <w:rFonts w:hint="eastAsia"/>
        </w:rPr>
        <w:t xml:space="preserve">(2)Johns Hopkins School of Medicine, Center for Tuberculosis Research, </w:t>
      </w:r>
    </w:p>
    <w:p w14:paraId="34090BB5">
      <w:pPr>
        <w:pStyle w:val="2"/>
        <w:rPr>
          <w:rFonts w:hint="eastAsia"/>
        </w:rPr>
      </w:pPr>
      <w:r>
        <w:rPr>
          <w:rFonts w:hint="eastAsia"/>
        </w:rPr>
        <w:t>Baltimore, United States of America.</w:t>
      </w:r>
    </w:p>
    <w:p w14:paraId="513BC3C1">
      <w:pPr>
        <w:pStyle w:val="2"/>
        <w:rPr>
          <w:rFonts w:hint="eastAsia"/>
        </w:rPr>
      </w:pPr>
      <w:r>
        <w:rPr>
          <w:rFonts w:hint="eastAsia"/>
        </w:rPr>
        <w:t xml:space="preserve">(3)Emilio Ribas Institute of Infectious Diseases, Epidemiology Surveillance, Sao </w:t>
      </w:r>
    </w:p>
    <w:p w14:paraId="7021EC79">
      <w:pPr>
        <w:pStyle w:val="2"/>
        <w:rPr>
          <w:rFonts w:hint="eastAsia"/>
        </w:rPr>
      </w:pPr>
      <w:r>
        <w:rPr>
          <w:rFonts w:hint="eastAsia"/>
        </w:rPr>
        <w:t xml:space="preserve">Paulo, Brazil; São Paulo State Department of Health, Epidemiologic Surveillance </w:t>
      </w:r>
    </w:p>
    <w:p w14:paraId="06D8E973">
      <w:pPr>
        <w:pStyle w:val="2"/>
        <w:rPr>
          <w:rFonts w:hint="eastAsia"/>
        </w:rPr>
      </w:pPr>
      <w:r>
        <w:rPr>
          <w:rFonts w:hint="eastAsia"/>
        </w:rPr>
        <w:t>Center, São Paulo, Brazil.</w:t>
      </w:r>
    </w:p>
    <w:p w14:paraId="2FDAEAFB">
      <w:pPr>
        <w:pStyle w:val="2"/>
        <w:rPr>
          <w:rFonts w:hint="eastAsia"/>
        </w:rPr>
      </w:pPr>
      <w:r>
        <w:rPr>
          <w:rFonts w:hint="eastAsia"/>
        </w:rPr>
        <w:t xml:space="preserve">(4)São Paulo State Department of Health, Epidemiologic Surveillance Center, São </w:t>
      </w:r>
    </w:p>
    <w:p w14:paraId="1EADBDE2">
      <w:pPr>
        <w:pStyle w:val="2"/>
        <w:rPr>
          <w:rFonts w:hint="eastAsia"/>
        </w:rPr>
      </w:pPr>
      <w:r>
        <w:rPr>
          <w:rFonts w:hint="eastAsia"/>
        </w:rPr>
        <w:t>Paulo, Brazil.</w:t>
      </w:r>
    </w:p>
    <w:p w14:paraId="4E26EA4C">
      <w:pPr>
        <w:pStyle w:val="2"/>
        <w:rPr>
          <w:rFonts w:hint="eastAsia"/>
        </w:rPr>
      </w:pPr>
      <w:r>
        <w:rPr>
          <w:rFonts w:hint="eastAsia"/>
        </w:rPr>
        <w:t xml:space="preserve">(5)Johns Hopkins Bloomberg School of Public Health, Baltimore, United States of </w:t>
      </w:r>
    </w:p>
    <w:p w14:paraId="636AB771">
      <w:pPr>
        <w:pStyle w:val="2"/>
        <w:rPr>
          <w:rFonts w:hint="eastAsia"/>
        </w:rPr>
      </w:pPr>
      <w:r>
        <w:rPr>
          <w:rFonts w:hint="eastAsia"/>
        </w:rPr>
        <w:t xml:space="preserve">America; Johns Hopkins School of Medicine, Center for Tuberculosis Research, </w:t>
      </w:r>
    </w:p>
    <w:p w14:paraId="72AA6158">
      <w:pPr>
        <w:pStyle w:val="2"/>
        <w:rPr>
          <w:rFonts w:hint="eastAsia"/>
        </w:rPr>
      </w:pPr>
      <w:r>
        <w:rPr>
          <w:rFonts w:hint="eastAsia"/>
        </w:rPr>
        <w:t xml:space="preserve">Baltimore, United States of America; Johns Hopkins Bloomberg School of Public </w:t>
      </w:r>
    </w:p>
    <w:p w14:paraId="7C0A9807">
      <w:pPr>
        <w:pStyle w:val="2"/>
        <w:rPr>
          <w:rFonts w:hint="eastAsia"/>
        </w:rPr>
      </w:pPr>
      <w:r>
        <w:rPr>
          <w:rFonts w:hint="eastAsia"/>
        </w:rPr>
        <w:t>Health, International Health, Baltimore, United States of America.</w:t>
      </w:r>
    </w:p>
    <w:p w14:paraId="4D8EB933">
      <w:pPr>
        <w:pStyle w:val="2"/>
        <w:rPr>
          <w:rFonts w:hint="eastAsia"/>
        </w:rPr>
      </w:pPr>
      <w:r>
        <w:rPr>
          <w:rFonts w:hint="eastAsia"/>
        </w:rPr>
        <w:t xml:space="preserve">(6)Johns Hopkins Bloomberg School of Public Health, International Health, </w:t>
      </w:r>
    </w:p>
    <w:p w14:paraId="7F8442B0">
      <w:pPr>
        <w:pStyle w:val="2"/>
        <w:rPr>
          <w:rFonts w:hint="eastAsia"/>
        </w:rPr>
      </w:pPr>
      <w:r>
        <w:rPr>
          <w:rFonts w:hint="eastAsia"/>
        </w:rPr>
        <w:t>Baltimore, United States of America. Electronic address: scox26@jhmi.edu.</w:t>
      </w:r>
    </w:p>
    <w:p w14:paraId="7F50FDD5">
      <w:pPr>
        <w:pStyle w:val="2"/>
        <w:rPr>
          <w:rFonts w:hint="eastAsia"/>
        </w:rPr>
      </w:pPr>
    </w:p>
    <w:p w14:paraId="6185F72D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OBJECTIVES: </w:t>
      </w:r>
      <w:r>
        <w:rPr>
          <w:rFonts w:hint="eastAsia"/>
        </w:rPr>
        <w:t xml:space="preserve">Tuberculosis recurrence remains a challenge to elimination efforts </w:t>
      </w:r>
    </w:p>
    <w:p w14:paraId="19D83F96">
      <w:pPr>
        <w:pStyle w:val="2"/>
        <w:rPr>
          <w:rFonts w:hint="eastAsia"/>
        </w:rPr>
      </w:pPr>
      <w:r>
        <w:rPr>
          <w:rFonts w:hint="eastAsia"/>
        </w:rPr>
        <w:t xml:space="preserve">in high-burden settings. We aimed to estimate the incidence and timing of </w:t>
      </w:r>
    </w:p>
    <w:p w14:paraId="71453FC2">
      <w:pPr>
        <w:pStyle w:val="2"/>
        <w:rPr>
          <w:rFonts w:hint="eastAsia"/>
        </w:rPr>
      </w:pPr>
      <w:r>
        <w:rPr>
          <w:rFonts w:hint="eastAsia"/>
        </w:rPr>
        <w:t xml:space="preserve">tuberculosis recurrence and to identify its risk factors to inform </w:t>
      </w:r>
    </w:p>
    <w:p w14:paraId="0EA091DB">
      <w:pPr>
        <w:pStyle w:val="2"/>
        <w:rPr>
          <w:rFonts w:hint="eastAsia"/>
        </w:rPr>
      </w:pPr>
      <w:r>
        <w:rPr>
          <w:rFonts w:hint="eastAsia"/>
        </w:rPr>
        <w:t>post-treatment care.</w:t>
      </w:r>
    </w:p>
    <w:p w14:paraId="4F671624">
      <w:pPr>
        <w:pStyle w:val="2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We conducted a population-based cohort study of tuberculosis survivors </w:t>
      </w:r>
    </w:p>
    <w:p w14:paraId="069B738D">
      <w:pPr>
        <w:pStyle w:val="2"/>
        <w:rPr>
          <w:rFonts w:hint="eastAsia"/>
        </w:rPr>
      </w:pPr>
      <w:r>
        <w:rPr>
          <w:rFonts w:hint="eastAsia"/>
        </w:rPr>
        <w:t xml:space="preserve">successfully treated for a first tuberculosis episode from 2013 through 2024 in </w:t>
      </w:r>
    </w:p>
    <w:p w14:paraId="6AFB26D4">
      <w:pPr>
        <w:pStyle w:val="2"/>
        <w:rPr>
          <w:rFonts w:hint="eastAsia"/>
        </w:rPr>
      </w:pPr>
      <w:r>
        <w:rPr>
          <w:rFonts w:hint="eastAsia"/>
        </w:rPr>
        <w:t xml:space="preserve">São Paulo state, Brazil. Data were obtained from the state tuberculosis </w:t>
      </w:r>
    </w:p>
    <w:p w14:paraId="223D0620">
      <w:pPr>
        <w:pStyle w:val="2"/>
        <w:rPr>
          <w:rFonts w:hint="eastAsia"/>
        </w:rPr>
      </w:pPr>
      <w:r>
        <w:rPr>
          <w:rFonts w:hint="eastAsia"/>
        </w:rPr>
        <w:t xml:space="preserve">surveillance system (TBweb), and deaths were identified through linkage with the </w:t>
      </w:r>
    </w:p>
    <w:p w14:paraId="3722CAA4">
      <w:pPr>
        <w:pStyle w:val="2"/>
        <w:rPr>
          <w:rFonts w:hint="eastAsia"/>
        </w:rPr>
      </w:pPr>
      <w:r>
        <w:rPr>
          <w:rFonts w:hint="eastAsia"/>
        </w:rPr>
        <w:t xml:space="preserve">national mortality database. We applied competing risks survival analysis to </w:t>
      </w:r>
    </w:p>
    <w:p w14:paraId="738A0CA8">
      <w:pPr>
        <w:pStyle w:val="2"/>
        <w:rPr>
          <w:rFonts w:hint="eastAsia"/>
        </w:rPr>
      </w:pPr>
      <w:r>
        <w:rPr>
          <w:rFonts w:hint="eastAsia"/>
        </w:rPr>
        <w:t xml:space="preserve">estimate incidence and assess risk factors for recurrence. Covariates included </w:t>
      </w:r>
    </w:p>
    <w:p w14:paraId="1FFBD88C">
      <w:pPr>
        <w:pStyle w:val="2"/>
        <w:rPr>
          <w:rFonts w:hint="eastAsia"/>
        </w:rPr>
      </w:pPr>
      <w:r>
        <w:rPr>
          <w:rFonts w:hint="eastAsia"/>
        </w:rPr>
        <w:t xml:space="preserve">demographic, clinical, behavioral, and social vulnerability indicators, measured </w:t>
      </w:r>
    </w:p>
    <w:p w14:paraId="2E0FF4A9">
      <w:pPr>
        <w:pStyle w:val="2"/>
        <w:rPr>
          <w:rFonts w:hint="eastAsia"/>
        </w:rPr>
      </w:pPr>
      <w:r>
        <w:rPr>
          <w:rFonts w:hint="eastAsia"/>
        </w:rPr>
        <w:t xml:space="preserve">at treatment initiation for the first tuberculosis episode. Risk factor models </w:t>
      </w:r>
    </w:p>
    <w:p w14:paraId="1845753E">
      <w:pPr>
        <w:pStyle w:val="2"/>
        <w:rPr>
          <w:rFonts w:hint="eastAsia"/>
        </w:rPr>
      </w:pPr>
      <w:r>
        <w:rPr>
          <w:rFonts w:hint="eastAsia"/>
        </w:rPr>
        <w:t>were stratified by age (&lt;15 vs. ≥15 years).</w:t>
      </w:r>
    </w:p>
    <w:p w14:paraId="0C170B9E">
      <w:pPr>
        <w:pStyle w:val="2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Among 154,579 individuals who completed treatment for a first episode </w:t>
      </w:r>
    </w:p>
    <w:p w14:paraId="47AF669C">
      <w:pPr>
        <w:pStyle w:val="2"/>
        <w:rPr>
          <w:rFonts w:hint="eastAsia"/>
        </w:rPr>
      </w:pPr>
      <w:r>
        <w:rPr>
          <w:rFonts w:hint="eastAsia"/>
        </w:rPr>
        <w:t xml:space="preserve">of tuberculosis, we identified 9,464 first recurrences over a median follow-up </w:t>
      </w:r>
    </w:p>
    <w:p w14:paraId="5316E4B4">
      <w:pPr>
        <w:pStyle w:val="2"/>
        <w:rPr>
          <w:rFonts w:hint="eastAsia"/>
        </w:rPr>
      </w:pPr>
      <w:r>
        <w:rPr>
          <w:rFonts w:hint="eastAsia"/>
        </w:rPr>
        <w:t xml:space="preserve">of 5.4 years (IQR 2.5-8.2). The overall recurrence incidence was 1,127.2 per </w:t>
      </w:r>
    </w:p>
    <w:p w14:paraId="3017F6FE">
      <w:pPr>
        <w:pStyle w:val="2"/>
        <w:rPr>
          <w:rFonts w:hint="eastAsia"/>
        </w:rPr>
      </w:pPr>
      <w:r>
        <w:rPr>
          <w:rFonts w:hint="eastAsia"/>
        </w:rPr>
        <w:t xml:space="preserve">100,000 person-years. Rates were highest between 3-12 months after treatment </w:t>
      </w:r>
    </w:p>
    <w:p w14:paraId="377B749C">
      <w:pPr>
        <w:pStyle w:val="2"/>
        <w:rPr>
          <w:rFonts w:hint="eastAsia"/>
        </w:rPr>
      </w:pPr>
      <w:r>
        <w:rPr>
          <w:rFonts w:hint="eastAsia"/>
        </w:rPr>
        <w:t xml:space="preserve">completion, yet recurrence incidence remained over 1,000 per 100,000 </w:t>
      </w:r>
    </w:p>
    <w:p w14:paraId="2A94CD64">
      <w:pPr>
        <w:pStyle w:val="2"/>
        <w:rPr>
          <w:rFonts w:hint="eastAsia"/>
        </w:rPr>
      </w:pPr>
      <w:r>
        <w:rPr>
          <w:rFonts w:hint="eastAsia"/>
        </w:rPr>
        <w:t xml:space="preserve">person-years in the 2-5 years after treatment completion. In adults, </w:t>
      </w:r>
    </w:p>
    <w:p w14:paraId="30D3C099">
      <w:pPr>
        <w:pStyle w:val="2"/>
        <w:rPr>
          <w:rFonts w:hint="eastAsia"/>
        </w:rPr>
      </w:pPr>
      <w:r>
        <w:rPr>
          <w:rFonts w:hint="eastAsia"/>
        </w:rPr>
        <w:t xml:space="preserve">hospitalization (adjusted subdistribution hazard ratio [aSHR] 2.53, 95%CI </w:t>
      </w:r>
    </w:p>
    <w:p w14:paraId="4F6DD3C5">
      <w:pPr>
        <w:pStyle w:val="2"/>
        <w:rPr>
          <w:rFonts w:hint="eastAsia"/>
        </w:rPr>
      </w:pPr>
      <w:r>
        <w:rPr>
          <w:rFonts w:hint="eastAsia"/>
        </w:rPr>
        <w:t xml:space="preserve">2.36-2.71), and incarceration during the initial episode (aSHR 2.30, 2.13-2.48), </w:t>
      </w:r>
    </w:p>
    <w:p w14:paraId="04910007">
      <w:pPr>
        <w:pStyle w:val="2"/>
        <w:rPr>
          <w:rFonts w:hint="eastAsia"/>
        </w:rPr>
      </w:pPr>
      <w:r>
        <w:rPr>
          <w:rFonts w:hint="eastAsia"/>
        </w:rPr>
        <w:t xml:space="preserve">together with pulmonary tuberculosis as initial diagnosis (aSHR 2.10, 1.87-2.35) </w:t>
      </w:r>
    </w:p>
    <w:p w14:paraId="50B37674">
      <w:pPr>
        <w:pStyle w:val="2"/>
        <w:rPr>
          <w:rFonts w:hint="eastAsia"/>
        </w:rPr>
      </w:pPr>
      <w:r>
        <w:rPr>
          <w:rFonts w:hint="eastAsia"/>
        </w:rPr>
        <w:t xml:space="preserve">were the strongest independent risk factors for recurrence. In children, HIV </w:t>
      </w:r>
    </w:p>
    <w:p w14:paraId="30505FF8">
      <w:pPr>
        <w:pStyle w:val="2"/>
        <w:rPr>
          <w:rFonts w:hint="eastAsia"/>
        </w:rPr>
      </w:pPr>
      <w:r>
        <w:rPr>
          <w:rFonts w:hint="eastAsia"/>
        </w:rPr>
        <w:t>(aSHR 6.38, 2.64-15.40) was the strongest predictor.</w:t>
      </w:r>
    </w:p>
    <w:p w14:paraId="39E5E7AD">
      <w:pPr>
        <w:pStyle w:val="2"/>
        <w:rPr>
          <w:rFonts w:hint="eastAsia"/>
        </w:rPr>
      </w:pPr>
      <w:r>
        <w:rPr>
          <w:rFonts w:hint="eastAsia"/>
          <w:b/>
          <w:bCs/>
        </w:rPr>
        <w:t>CONCLUSIONS:</w:t>
      </w:r>
      <w:r>
        <w:rPr>
          <w:rFonts w:hint="eastAsia"/>
        </w:rPr>
        <w:t xml:space="preserve"> The high and persistent risk of tuberculosis recurrence reinforces </w:t>
      </w:r>
    </w:p>
    <w:p w14:paraId="0C58A981">
      <w:pPr>
        <w:pStyle w:val="2"/>
        <w:rPr>
          <w:rFonts w:hint="eastAsia"/>
        </w:rPr>
      </w:pPr>
      <w:r>
        <w:rPr>
          <w:rFonts w:hint="eastAsia"/>
        </w:rPr>
        <w:t>the importance of post-treatment care with risk-based follow-up strategies.</w:t>
      </w:r>
    </w:p>
    <w:p w14:paraId="36CF3D26">
      <w:pPr>
        <w:pStyle w:val="2"/>
        <w:rPr>
          <w:rFonts w:hint="eastAsia"/>
        </w:rPr>
      </w:pPr>
    </w:p>
    <w:p w14:paraId="2507F93A">
      <w:pPr>
        <w:pStyle w:val="2"/>
        <w:rPr>
          <w:rFonts w:hint="eastAsia"/>
        </w:rPr>
      </w:pPr>
      <w:r>
        <w:rPr>
          <w:rFonts w:hint="eastAsia"/>
        </w:rPr>
        <w:t>Copyright © 2026. Published by Elsevier Ltd.</w:t>
      </w:r>
    </w:p>
    <w:p w14:paraId="3316D62E">
      <w:pPr>
        <w:pStyle w:val="2"/>
        <w:rPr>
          <w:rFonts w:hint="eastAsia"/>
        </w:rPr>
      </w:pPr>
    </w:p>
    <w:p w14:paraId="08AC0162">
      <w:pPr>
        <w:pStyle w:val="2"/>
        <w:rPr>
          <w:rFonts w:hint="eastAsia"/>
        </w:rPr>
      </w:pPr>
      <w:r>
        <w:rPr>
          <w:rFonts w:hint="eastAsia"/>
        </w:rPr>
        <w:t>DOI: 10.1016/j.ijid.2026.109179</w:t>
      </w:r>
    </w:p>
    <w:p w14:paraId="1EAFF464">
      <w:pPr>
        <w:pStyle w:val="2"/>
        <w:rPr>
          <w:rFonts w:hint="eastAsia"/>
        </w:rPr>
      </w:pPr>
      <w:r>
        <w:rPr>
          <w:rFonts w:hint="eastAsia"/>
        </w:rPr>
        <w:t>PMID: 42858768</w:t>
      </w:r>
    </w:p>
    <w:p w14:paraId="2A6D223C">
      <w:pPr>
        <w:pStyle w:val="2"/>
        <w:rPr>
          <w:rFonts w:hint="eastAsia"/>
        </w:rPr>
      </w:pPr>
    </w:p>
    <w:p w14:paraId="6C2043FC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8</w:t>
      </w:r>
      <w:r>
        <w:rPr>
          <w:rFonts w:hint="eastAsia"/>
          <w:b/>
          <w:bCs/>
          <w:color w:val="FF0000"/>
        </w:rPr>
        <w:t xml:space="preserve">. Nutr Rev. 2026 Oct 10:nuag134. doi: 10.1093/nutrit/nuag134. Online ahead of </w:t>
      </w:r>
    </w:p>
    <w:p w14:paraId="601BCEC1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print.</w:t>
      </w:r>
    </w:p>
    <w:p w14:paraId="1DF85E82">
      <w:pPr>
        <w:pStyle w:val="2"/>
        <w:rPr>
          <w:rFonts w:hint="eastAsia"/>
        </w:rPr>
      </w:pPr>
    </w:p>
    <w:p w14:paraId="47260CD3">
      <w:pPr>
        <w:pStyle w:val="2"/>
        <w:rPr>
          <w:rFonts w:hint="eastAsia"/>
        </w:rPr>
      </w:pPr>
      <w:r>
        <w:rPr>
          <w:rFonts w:hint="eastAsia"/>
        </w:rPr>
        <w:t xml:space="preserve">Effects of Immune-Modulatory Nutrients as Host-Directed Therapy in Pulmonary </w:t>
      </w:r>
    </w:p>
    <w:p w14:paraId="390CBFB6">
      <w:pPr>
        <w:pStyle w:val="2"/>
        <w:rPr>
          <w:rFonts w:hint="eastAsia"/>
        </w:rPr>
      </w:pPr>
      <w:r>
        <w:rPr>
          <w:rFonts w:hint="eastAsia"/>
        </w:rPr>
        <w:t>Tuberculosis Patients: A Systematic Review and Meta-Analysis.</w:t>
      </w:r>
    </w:p>
    <w:p w14:paraId="51EDF955">
      <w:pPr>
        <w:pStyle w:val="2"/>
        <w:rPr>
          <w:rFonts w:hint="eastAsia"/>
        </w:rPr>
      </w:pPr>
    </w:p>
    <w:p w14:paraId="75BF8A52">
      <w:pPr>
        <w:pStyle w:val="2"/>
        <w:rPr>
          <w:rFonts w:hint="eastAsia"/>
        </w:rPr>
      </w:pPr>
      <w:r>
        <w:rPr>
          <w:rFonts w:hint="eastAsia"/>
        </w:rPr>
        <w:t xml:space="preserve">King S(1), Malan L(1), Visagie J(2), Hayford FEA(3), Zandberg L(1), </w:t>
      </w:r>
    </w:p>
    <w:p w14:paraId="08BC2C96">
      <w:pPr>
        <w:pStyle w:val="2"/>
        <w:rPr>
          <w:rFonts w:hint="eastAsia"/>
        </w:rPr>
      </w:pPr>
      <w:r>
        <w:rPr>
          <w:rFonts w:hint="eastAsia"/>
        </w:rPr>
        <w:t>Dolman-Macleod RC(1), Nienaber A(1).</w:t>
      </w:r>
    </w:p>
    <w:p w14:paraId="0513D4C1">
      <w:pPr>
        <w:pStyle w:val="2"/>
        <w:rPr>
          <w:rFonts w:hint="eastAsia"/>
        </w:rPr>
      </w:pPr>
    </w:p>
    <w:p w14:paraId="08F633EA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3F9927F0">
      <w:pPr>
        <w:pStyle w:val="2"/>
        <w:rPr>
          <w:rFonts w:hint="eastAsia"/>
        </w:rPr>
      </w:pPr>
      <w:r>
        <w:rPr>
          <w:rFonts w:hint="eastAsia"/>
        </w:rPr>
        <w:t xml:space="preserve">(1)Centre of Excellence for Nutrition, North-West University, Potchefstroom, </w:t>
      </w:r>
    </w:p>
    <w:p w14:paraId="5A1FE68A">
      <w:pPr>
        <w:pStyle w:val="2"/>
        <w:rPr>
          <w:rFonts w:hint="eastAsia"/>
        </w:rPr>
      </w:pPr>
      <w:r>
        <w:rPr>
          <w:rFonts w:hint="eastAsia"/>
        </w:rPr>
        <w:t>North West Province, 2531, South Africa.</w:t>
      </w:r>
    </w:p>
    <w:p w14:paraId="24335663">
      <w:pPr>
        <w:pStyle w:val="2"/>
        <w:rPr>
          <w:rFonts w:hint="eastAsia"/>
        </w:rPr>
      </w:pPr>
      <w:r>
        <w:rPr>
          <w:rFonts w:hint="eastAsia"/>
        </w:rPr>
        <w:t xml:space="preserve">(2)Pure and Applied Analytics, North-West University, Potchefstroom, North West </w:t>
      </w:r>
    </w:p>
    <w:p w14:paraId="2B39FD6C">
      <w:pPr>
        <w:pStyle w:val="2"/>
        <w:rPr>
          <w:rFonts w:hint="eastAsia"/>
        </w:rPr>
      </w:pPr>
      <w:r>
        <w:rPr>
          <w:rFonts w:hint="eastAsia"/>
        </w:rPr>
        <w:t>Province, 2531, South Africa.</w:t>
      </w:r>
    </w:p>
    <w:p w14:paraId="729CD018">
      <w:pPr>
        <w:pStyle w:val="2"/>
        <w:rPr>
          <w:rFonts w:hint="eastAsia"/>
        </w:rPr>
      </w:pPr>
      <w:r>
        <w:rPr>
          <w:rFonts w:hint="eastAsia"/>
        </w:rPr>
        <w:t xml:space="preserve">(3)Department of Dietetics, School of Biomedical and Allied Health Sciences, </w:t>
      </w:r>
    </w:p>
    <w:p w14:paraId="3489A47A">
      <w:pPr>
        <w:pStyle w:val="2"/>
        <w:rPr>
          <w:rFonts w:hint="eastAsia"/>
        </w:rPr>
      </w:pPr>
      <w:r>
        <w:rPr>
          <w:rFonts w:hint="eastAsia"/>
        </w:rPr>
        <w:t xml:space="preserve">College of Health Sciences, University of Ghana, PO Box KB 143, Korle-Bu, Accra, </w:t>
      </w:r>
    </w:p>
    <w:p w14:paraId="7EE6AF55">
      <w:pPr>
        <w:pStyle w:val="2"/>
        <w:rPr>
          <w:rFonts w:hint="eastAsia"/>
        </w:rPr>
      </w:pPr>
      <w:r>
        <w:rPr>
          <w:rFonts w:hint="eastAsia"/>
        </w:rPr>
        <w:t>Ghana.</w:t>
      </w:r>
    </w:p>
    <w:p w14:paraId="4D9FEC3B">
      <w:pPr>
        <w:pStyle w:val="2"/>
        <w:rPr>
          <w:rFonts w:hint="eastAsia"/>
        </w:rPr>
      </w:pPr>
    </w:p>
    <w:p w14:paraId="70D2D761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CONTEXT: </w:t>
      </w:r>
      <w:r>
        <w:rPr>
          <w:rFonts w:hint="eastAsia"/>
        </w:rPr>
        <w:t xml:space="preserve">Tuberculosis (TB) remains the leading cause of death from a single </w:t>
      </w:r>
    </w:p>
    <w:p w14:paraId="683A915E">
      <w:pPr>
        <w:pStyle w:val="2"/>
        <w:rPr>
          <w:rFonts w:hint="eastAsia"/>
        </w:rPr>
      </w:pPr>
      <w:r>
        <w:rPr>
          <w:rFonts w:hint="eastAsia"/>
        </w:rPr>
        <w:t xml:space="preserve">infectious agent worldwide, and treatment outcomes remain suboptimal. </w:t>
      </w:r>
    </w:p>
    <w:p w14:paraId="78058529">
      <w:pPr>
        <w:pStyle w:val="2"/>
        <w:rPr>
          <w:rFonts w:hint="eastAsia"/>
        </w:rPr>
      </w:pPr>
      <w:r>
        <w:rPr>
          <w:rFonts w:hint="eastAsia"/>
        </w:rPr>
        <w:t xml:space="preserve">Host-directed therapies, including immunonutrients, have gained attention for </w:t>
      </w:r>
    </w:p>
    <w:p w14:paraId="21330F71">
      <w:pPr>
        <w:pStyle w:val="2"/>
        <w:rPr>
          <w:rFonts w:hint="eastAsia"/>
        </w:rPr>
      </w:pPr>
      <w:r>
        <w:rPr>
          <w:rFonts w:hint="eastAsia"/>
        </w:rPr>
        <w:t>their potential to support immune function and modulate inflammation.</w:t>
      </w:r>
    </w:p>
    <w:p w14:paraId="37E7BAEA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OBJECTIVE: </w:t>
      </w:r>
      <w:r>
        <w:rPr>
          <w:rFonts w:hint="eastAsia"/>
        </w:rPr>
        <w:t xml:space="preserve">To determine the effects of adjunct immunonutrients (omega-3 </w:t>
      </w:r>
    </w:p>
    <w:p w14:paraId="51D200CC">
      <w:pPr>
        <w:pStyle w:val="2"/>
        <w:rPr>
          <w:rFonts w:hint="eastAsia"/>
        </w:rPr>
      </w:pPr>
      <w:r>
        <w:rPr>
          <w:rFonts w:hint="eastAsia"/>
        </w:rPr>
        <w:t xml:space="preserve">long-chain polyunsaturated fatty acids [n-3 LCPUFAs]; vitamins A, C, D, and E; </w:t>
      </w:r>
    </w:p>
    <w:p w14:paraId="3C639B4B">
      <w:pPr>
        <w:pStyle w:val="2"/>
        <w:rPr>
          <w:rFonts w:hint="eastAsia"/>
        </w:rPr>
      </w:pPr>
      <w:r>
        <w:rPr>
          <w:rFonts w:hint="eastAsia"/>
        </w:rPr>
        <w:t xml:space="preserve">selenium; zinc; arginine; glutamine; iron; and nucleotides) on early sputum </w:t>
      </w:r>
    </w:p>
    <w:p w14:paraId="474E383D">
      <w:pPr>
        <w:pStyle w:val="2"/>
        <w:rPr>
          <w:rFonts w:hint="eastAsia"/>
        </w:rPr>
      </w:pPr>
      <w:r>
        <w:rPr>
          <w:rFonts w:hint="eastAsia"/>
        </w:rPr>
        <w:t xml:space="preserve">conversion (sputum smear or culture negative at 4-8 weeks); and culture time to </w:t>
      </w:r>
    </w:p>
    <w:p w14:paraId="05C1107D">
      <w:pPr>
        <w:pStyle w:val="2"/>
        <w:rPr>
          <w:rFonts w:hint="eastAsia"/>
        </w:rPr>
      </w:pPr>
      <w:r>
        <w:rPr>
          <w:rFonts w:hint="eastAsia"/>
        </w:rPr>
        <w:t xml:space="preserve">conversion, inflammation, mortality, and TB score in adults (aged ≥15 years) </w:t>
      </w:r>
    </w:p>
    <w:p w14:paraId="721DAF28">
      <w:pPr>
        <w:pStyle w:val="2"/>
        <w:rPr>
          <w:rFonts w:hint="eastAsia"/>
        </w:rPr>
      </w:pPr>
      <w:r>
        <w:rPr>
          <w:rFonts w:hint="eastAsia"/>
        </w:rPr>
        <w:t>with drug-sensitive pulmonary TB.</w:t>
      </w:r>
    </w:p>
    <w:p w14:paraId="285EE6ED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DATA SOURCES: </w:t>
      </w:r>
      <w:r>
        <w:rPr>
          <w:rFonts w:hint="eastAsia"/>
        </w:rPr>
        <w:t xml:space="preserve">Scopus, Web of Science, Cochrane, and PubMed were searched from </w:t>
      </w:r>
    </w:p>
    <w:p w14:paraId="06EB358D">
      <w:pPr>
        <w:pStyle w:val="2"/>
        <w:rPr>
          <w:rFonts w:hint="eastAsia"/>
        </w:rPr>
      </w:pPr>
      <w:r>
        <w:rPr>
          <w:rFonts w:hint="eastAsia"/>
        </w:rPr>
        <w:t xml:space="preserve">March 19, 2024, to May 2026. The review was performed according to Preferred </w:t>
      </w:r>
    </w:p>
    <w:p w14:paraId="0921B752">
      <w:pPr>
        <w:pStyle w:val="2"/>
        <w:rPr>
          <w:rFonts w:hint="eastAsia"/>
        </w:rPr>
      </w:pPr>
      <w:r>
        <w:rPr>
          <w:rFonts w:hint="eastAsia"/>
        </w:rPr>
        <w:t xml:space="preserve">Reporting Items for Systematic reviews and Meta-Analyses (PRISMA). guidelines </w:t>
      </w:r>
    </w:p>
    <w:p w14:paraId="16DBCA8E">
      <w:pPr>
        <w:pStyle w:val="2"/>
        <w:rPr>
          <w:rFonts w:hint="eastAsia"/>
        </w:rPr>
      </w:pPr>
      <w:r>
        <w:rPr>
          <w:rFonts w:hint="eastAsia"/>
        </w:rPr>
        <w:t>and was registered on PROSPERO.</w:t>
      </w:r>
    </w:p>
    <w:p w14:paraId="344A5311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DATA EXTRACTION: </w:t>
      </w:r>
      <w:r>
        <w:rPr>
          <w:rFonts w:hint="eastAsia"/>
        </w:rPr>
        <w:t xml:space="preserve">Two authors independently screened articles, extracted data, </w:t>
      </w:r>
    </w:p>
    <w:p w14:paraId="236B8A3B">
      <w:pPr>
        <w:pStyle w:val="2"/>
        <w:rPr>
          <w:rFonts w:hint="eastAsia"/>
        </w:rPr>
      </w:pPr>
      <w:r>
        <w:rPr>
          <w:rFonts w:hint="eastAsia"/>
        </w:rPr>
        <w:t xml:space="preserve">and assessed risk of bias using RoB 2.0. Certainty of evidence was assessed </w:t>
      </w:r>
    </w:p>
    <w:p w14:paraId="683643A9">
      <w:pPr>
        <w:pStyle w:val="2"/>
        <w:rPr>
          <w:rFonts w:hint="eastAsia"/>
        </w:rPr>
      </w:pPr>
      <w:r>
        <w:rPr>
          <w:rFonts w:hint="eastAsia"/>
        </w:rPr>
        <w:t xml:space="preserve">using the GRADE (Grading of Recommendations Assessment, Development, and </w:t>
      </w:r>
    </w:p>
    <w:p w14:paraId="76C1AC75">
      <w:pPr>
        <w:pStyle w:val="2"/>
        <w:rPr>
          <w:rFonts w:hint="eastAsia"/>
        </w:rPr>
      </w:pPr>
      <w:r>
        <w:rPr>
          <w:rFonts w:hint="eastAsia"/>
        </w:rPr>
        <w:t xml:space="preserve">Evaluation) methodology. The review included 44 randomized controlled trials </w:t>
      </w:r>
    </w:p>
    <w:p w14:paraId="3E0D0A3F">
      <w:pPr>
        <w:pStyle w:val="2"/>
        <w:rPr>
          <w:rFonts w:hint="eastAsia"/>
        </w:rPr>
      </w:pPr>
      <w:r>
        <w:rPr>
          <w:rFonts w:hint="eastAsia"/>
        </w:rPr>
        <w:t>(RCTs) and 1 quasi-experimental trial.</w:t>
      </w:r>
    </w:p>
    <w:p w14:paraId="7200DB29">
      <w:pPr>
        <w:pStyle w:val="2"/>
        <w:rPr>
          <w:rFonts w:hint="eastAsia"/>
        </w:rPr>
      </w:pPr>
      <w:r>
        <w:rPr>
          <w:rFonts w:hint="eastAsia"/>
          <w:b/>
          <w:bCs/>
        </w:rPr>
        <w:t>DATA ANALYSIS:</w:t>
      </w:r>
      <w:r>
        <w:rPr>
          <w:rFonts w:hint="eastAsia"/>
        </w:rPr>
        <w:t xml:space="preserve"> Vitamin D lowered TB scores at 8 weeks (standardized mean </w:t>
      </w:r>
    </w:p>
    <w:p w14:paraId="47AEE62A">
      <w:pPr>
        <w:pStyle w:val="2"/>
        <w:rPr>
          <w:rFonts w:hint="eastAsia"/>
        </w:rPr>
      </w:pPr>
      <w:r>
        <w:rPr>
          <w:rFonts w:hint="eastAsia"/>
        </w:rPr>
        <w:t xml:space="preserve">difference [SMD], -0.83; 95% CI, -1.09 to -0.57; P &lt; .001), and C-reactive </w:t>
      </w:r>
    </w:p>
    <w:p w14:paraId="43785F43">
      <w:pPr>
        <w:pStyle w:val="2"/>
        <w:rPr>
          <w:rFonts w:hint="eastAsia"/>
        </w:rPr>
      </w:pPr>
      <w:r>
        <w:rPr>
          <w:rFonts w:hint="eastAsia"/>
        </w:rPr>
        <w:t xml:space="preserve">protein (CRP) at 6 weeks (SMD, -0.43; 95% CI, -0.83 to -0.03; P = .03), but did </w:t>
      </w:r>
    </w:p>
    <w:p w14:paraId="17427A5F">
      <w:pPr>
        <w:pStyle w:val="2"/>
        <w:rPr>
          <w:rFonts w:hint="eastAsia"/>
        </w:rPr>
      </w:pPr>
      <w:r>
        <w:rPr>
          <w:rFonts w:hint="eastAsia"/>
        </w:rPr>
        <w:t xml:space="preserve">not improve sputum smear conversion (odds ratio [OR], 1.05; 95% CI, 0.99-1.10; </w:t>
      </w:r>
    </w:p>
    <w:p w14:paraId="02B9EE41">
      <w:pPr>
        <w:pStyle w:val="2"/>
        <w:rPr>
          <w:rFonts w:hint="eastAsia"/>
        </w:rPr>
      </w:pPr>
      <w:r>
        <w:rPr>
          <w:rFonts w:hint="eastAsia"/>
        </w:rPr>
        <w:t xml:space="preserve">P = .098). Arginine and vitamin C pooled effects on sputum smear conversion were </w:t>
      </w:r>
    </w:p>
    <w:p w14:paraId="40949953">
      <w:pPr>
        <w:pStyle w:val="2"/>
        <w:rPr>
          <w:rFonts w:hint="eastAsia"/>
        </w:rPr>
      </w:pPr>
      <w:r>
        <w:rPr>
          <w:rFonts w:hint="eastAsia"/>
        </w:rPr>
        <w:t xml:space="preserve">not robust in sensitivity analyses or based on only 2 trials. Arginine reduced </w:t>
      </w:r>
    </w:p>
    <w:p w14:paraId="204E36AC">
      <w:pPr>
        <w:pStyle w:val="2"/>
        <w:rPr>
          <w:rFonts w:hint="eastAsia"/>
        </w:rPr>
      </w:pPr>
      <w:r>
        <w:rPr>
          <w:rFonts w:hint="eastAsia"/>
        </w:rPr>
        <w:t xml:space="preserve">CRP at 8 weeks (OR, 0.55; 95% CI, 0.40-0.75; P &lt; .001). Vitamin A, zinc, and </w:t>
      </w:r>
    </w:p>
    <w:p w14:paraId="5DAA9D4E">
      <w:pPr>
        <w:pStyle w:val="2"/>
        <w:rPr>
          <w:rFonts w:hint="eastAsia"/>
        </w:rPr>
      </w:pPr>
      <w:r>
        <w:rPr>
          <w:rFonts w:hint="eastAsia"/>
        </w:rPr>
        <w:t xml:space="preserve">their combination showed no significant effects. Certainty of evidence was low </w:t>
      </w:r>
    </w:p>
    <w:p w14:paraId="40687FE0">
      <w:pPr>
        <w:pStyle w:val="2"/>
        <w:rPr>
          <w:rFonts w:hint="eastAsia"/>
        </w:rPr>
      </w:pPr>
      <w:r>
        <w:rPr>
          <w:rFonts w:hint="eastAsia"/>
        </w:rPr>
        <w:t>to very low.</w:t>
      </w:r>
    </w:p>
    <w:p w14:paraId="252DEE90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CONCLUSIONS: </w:t>
      </w:r>
      <w:r>
        <w:rPr>
          <w:rFonts w:hint="eastAsia"/>
        </w:rPr>
        <w:t xml:space="preserve">These findings suggest a potential but unconfirmed benefit of </w:t>
      </w:r>
    </w:p>
    <w:p w14:paraId="3E400C58">
      <w:pPr>
        <w:pStyle w:val="2"/>
        <w:rPr>
          <w:rFonts w:hint="eastAsia"/>
        </w:rPr>
      </w:pPr>
      <w:r>
        <w:rPr>
          <w:rFonts w:hint="eastAsia"/>
        </w:rPr>
        <w:t xml:space="preserve">selected adjunct immunonutrients, most notably vitamin D. Routine </w:t>
      </w:r>
    </w:p>
    <w:p w14:paraId="4E093732">
      <w:pPr>
        <w:pStyle w:val="2"/>
        <w:rPr>
          <w:rFonts w:hint="eastAsia"/>
        </w:rPr>
      </w:pPr>
      <w:r>
        <w:rPr>
          <w:rFonts w:hint="eastAsia"/>
        </w:rPr>
        <w:t xml:space="preserve">supplementation cannot be recommended. Large, well-designed RCTs with </w:t>
      </w:r>
    </w:p>
    <w:p w14:paraId="353A425D">
      <w:pPr>
        <w:pStyle w:val="2"/>
        <w:rPr>
          <w:rFonts w:hint="eastAsia"/>
        </w:rPr>
      </w:pPr>
      <w:r>
        <w:rPr>
          <w:rFonts w:hint="eastAsia"/>
        </w:rPr>
        <w:t xml:space="preserve">standardized dosing and outcomes are needed, including for those with no </w:t>
      </w:r>
    </w:p>
    <w:p w14:paraId="177578E5">
      <w:pPr>
        <w:pStyle w:val="2"/>
        <w:rPr>
          <w:rFonts w:hint="eastAsia"/>
        </w:rPr>
      </w:pPr>
      <w:r>
        <w:rPr>
          <w:rFonts w:hint="eastAsia"/>
        </w:rPr>
        <w:t xml:space="preserve">eligible trials identified (vitamin E, selenium, n-3 LCPUFAs, nucleotides, iron, </w:t>
      </w:r>
    </w:p>
    <w:p w14:paraId="223DF051">
      <w:pPr>
        <w:pStyle w:val="2"/>
        <w:rPr>
          <w:rFonts w:hint="eastAsia"/>
        </w:rPr>
      </w:pPr>
      <w:r>
        <w:rPr>
          <w:rFonts w:hint="eastAsia"/>
        </w:rPr>
        <w:t>and glutamine).</w:t>
      </w:r>
    </w:p>
    <w:p w14:paraId="10E2BA45">
      <w:pPr>
        <w:pStyle w:val="2"/>
        <w:rPr>
          <w:rFonts w:hint="eastAsia"/>
        </w:rPr>
      </w:pPr>
      <w:r>
        <w:rPr>
          <w:rFonts w:hint="eastAsia"/>
        </w:rPr>
        <w:t>SYSTEMATIC REVIEW REGISTRATION: PROSPERO registration No. [CRD42024567237].</w:t>
      </w:r>
    </w:p>
    <w:p w14:paraId="4D52FA06">
      <w:pPr>
        <w:pStyle w:val="2"/>
        <w:rPr>
          <w:rFonts w:hint="eastAsia"/>
        </w:rPr>
      </w:pPr>
    </w:p>
    <w:p w14:paraId="32BFFAB2">
      <w:pPr>
        <w:pStyle w:val="2"/>
        <w:rPr>
          <w:rFonts w:hint="eastAsia"/>
        </w:rPr>
      </w:pPr>
      <w:r>
        <w:rPr>
          <w:rFonts w:hint="eastAsia"/>
        </w:rPr>
        <w:t xml:space="preserve">© The Author(s) 2026. Published by Oxford University Press on behalf of the </w:t>
      </w:r>
    </w:p>
    <w:p w14:paraId="3E0B21B2">
      <w:pPr>
        <w:pStyle w:val="2"/>
        <w:rPr>
          <w:rFonts w:hint="eastAsia"/>
        </w:rPr>
      </w:pPr>
      <w:r>
        <w:rPr>
          <w:rFonts w:hint="eastAsia"/>
        </w:rPr>
        <w:t>International Life Sciences Institute.</w:t>
      </w:r>
    </w:p>
    <w:p w14:paraId="508A08B8">
      <w:pPr>
        <w:pStyle w:val="2"/>
        <w:rPr>
          <w:rFonts w:hint="eastAsia"/>
        </w:rPr>
      </w:pPr>
    </w:p>
    <w:p w14:paraId="54BDB0C6">
      <w:pPr>
        <w:pStyle w:val="2"/>
        <w:rPr>
          <w:rFonts w:hint="eastAsia"/>
        </w:rPr>
      </w:pPr>
      <w:r>
        <w:rPr>
          <w:rFonts w:hint="eastAsia"/>
        </w:rPr>
        <w:t>DOI: 10.1093/nutrit/nuag134</w:t>
      </w:r>
    </w:p>
    <w:p w14:paraId="2104C5F9">
      <w:pPr>
        <w:pStyle w:val="2"/>
        <w:rPr>
          <w:rFonts w:hint="eastAsia"/>
        </w:rPr>
      </w:pPr>
      <w:r>
        <w:rPr>
          <w:rFonts w:hint="eastAsia"/>
        </w:rPr>
        <w:t>PMID: 42858461</w:t>
      </w:r>
    </w:p>
    <w:p w14:paraId="36AD921D">
      <w:pPr>
        <w:pStyle w:val="2"/>
        <w:rPr>
          <w:rFonts w:hint="eastAsia"/>
        </w:rPr>
      </w:pPr>
    </w:p>
    <w:p w14:paraId="4644D16C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9</w:t>
      </w:r>
      <w:r>
        <w:rPr>
          <w:rFonts w:hint="eastAsia"/>
          <w:b/>
          <w:bCs/>
          <w:color w:val="FF0000"/>
        </w:rPr>
        <w:t xml:space="preserve">. Open Forum Infect Dis. 2026 Oct 9;13(10):ofag606. doi: 10.1093/ofid/ofag606. </w:t>
      </w:r>
    </w:p>
    <w:p w14:paraId="05054801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 Oct.</w:t>
      </w:r>
    </w:p>
    <w:p w14:paraId="55F67223">
      <w:pPr>
        <w:pStyle w:val="2"/>
        <w:rPr>
          <w:rFonts w:hint="eastAsia"/>
        </w:rPr>
      </w:pPr>
    </w:p>
    <w:p w14:paraId="417C65D9">
      <w:pPr>
        <w:pStyle w:val="2"/>
        <w:rPr>
          <w:rFonts w:hint="eastAsia"/>
        </w:rPr>
      </w:pPr>
      <w:r>
        <w:rPr>
          <w:rFonts w:hint="eastAsia"/>
        </w:rPr>
        <w:t xml:space="preserve">Tuberculosis Risk in the Returning Traveler: Assessing Tuberculosis Test </w:t>
      </w:r>
    </w:p>
    <w:p w14:paraId="6855C1E4">
      <w:pPr>
        <w:pStyle w:val="2"/>
        <w:rPr>
          <w:rFonts w:hint="eastAsia"/>
        </w:rPr>
      </w:pPr>
      <w:r>
        <w:rPr>
          <w:rFonts w:hint="eastAsia"/>
        </w:rPr>
        <w:t>Conversion Among Routinely Tested Patients at an Asian American Health Center.</w:t>
      </w:r>
    </w:p>
    <w:p w14:paraId="74A94EE3">
      <w:pPr>
        <w:pStyle w:val="2"/>
        <w:rPr>
          <w:rFonts w:hint="eastAsia"/>
        </w:rPr>
      </w:pPr>
    </w:p>
    <w:p w14:paraId="0487F90B">
      <w:pPr>
        <w:pStyle w:val="2"/>
        <w:rPr>
          <w:rFonts w:hint="eastAsia"/>
        </w:rPr>
      </w:pPr>
      <w:r>
        <w:rPr>
          <w:rFonts w:hint="eastAsia"/>
        </w:rPr>
        <w:t>Fukui N(1)(2), Dong Z(3), Tang AS(3), Readhead A(2), Katrak SS(2)(4).</w:t>
      </w:r>
    </w:p>
    <w:p w14:paraId="517DE8BF">
      <w:pPr>
        <w:pStyle w:val="2"/>
        <w:rPr>
          <w:rFonts w:hint="eastAsia"/>
        </w:rPr>
      </w:pPr>
    </w:p>
    <w:p w14:paraId="2B5B261E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5697A22B">
      <w:pPr>
        <w:pStyle w:val="2"/>
        <w:rPr>
          <w:rFonts w:hint="eastAsia"/>
        </w:rPr>
      </w:pPr>
      <w:r>
        <w:rPr>
          <w:rFonts w:hint="eastAsia"/>
        </w:rPr>
        <w:t xml:space="preserve">(1)Institute for Global Health Sciences, University of California, San </w:t>
      </w:r>
    </w:p>
    <w:p w14:paraId="77A32388">
      <w:pPr>
        <w:pStyle w:val="2"/>
        <w:rPr>
          <w:rFonts w:hint="eastAsia"/>
        </w:rPr>
      </w:pPr>
      <w:r>
        <w:rPr>
          <w:rFonts w:hint="eastAsia"/>
        </w:rPr>
        <w:t>Francisco, San Francisco, California, USA.</w:t>
      </w:r>
    </w:p>
    <w:p w14:paraId="7E5D2AB3">
      <w:pPr>
        <w:pStyle w:val="2"/>
        <w:rPr>
          <w:rFonts w:hint="eastAsia"/>
        </w:rPr>
      </w:pPr>
      <w:r>
        <w:rPr>
          <w:rFonts w:hint="eastAsia"/>
        </w:rPr>
        <w:t xml:space="preserve">(2)Tuberculosis Control Branch, California Department of Public Health, </w:t>
      </w:r>
    </w:p>
    <w:p w14:paraId="14CEFD15">
      <w:pPr>
        <w:pStyle w:val="2"/>
        <w:rPr>
          <w:rFonts w:hint="eastAsia"/>
        </w:rPr>
      </w:pPr>
      <w:r>
        <w:rPr>
          <w:rFonts w:hint="eastAsia"/>
        </w:rPr>
        <w:t>Richmond, California, USA.</w:t>
      </w:r>
    </w:p>
    <w:p w14:paraId="2F0FE9CF">
      <w:pPr>
        <w:pStyle w:val="2"/>
        <w:rPr>
          <w:rFonts w:hint="eastAsia"/>
        </w:rPr>
      </w:pPr>
      <w:r>
        <w:rPr>
          <w:rFonts w:hint="eastAsia"/>
        </w:rPr>
        <w:t xml:space="preserve">(3)Viral Hepatitis and Tuberculosis Program, North East Medical Services, San </w:t>
      </w:r>
    </w:p>
    <w:p w14:paraId="454E839A">
      <w:pPr>
        <w:pStyle w:val="2"/>
        <w:rPr>
          <w:rFonts w:hint="eastAsia"/>
        </w:rPr>
      </w:pPr>
      <w:r>
        <w:rPr>
          <w:rFonts w:hint="eastAsia"/>
        </w:rPr>
        <w:t>Francisco, California, USA.</w:t>
      </w:r>
    </w:p>
    <w:p w14:paraId="10710882">
      <w:pPr>
        <w:pStyle w:val="2"/>
        <w:rPr>
          <w:rFonts w:hint="eastAsia"/>
        </w:rPr>
      </w:pPr>
      <w:r>
        <w:rPr>
          <w:rFonts w:hint="eastAsia"/>
        </w:rPr>
        <w:t xml:space="preserve">(4)Division of Infectious Diseases, School of Medicine, University of </w:t>
      </w:r>
    </w:p>
    <w:p w14:paraId="20F521D1">
      <w:pPr>
        <w:pStyle w:val="2"/>
        <w:rPr>
          <w:rFonts w:hint="eastAsia"/>
        </w:rPr>
      </w:pPr>
      <w:r>
        <w:rPr>
          <w:rFonts w:hint="eastAsia"/>
        </w:rPr>
        <w:t>California, San Francisco, San Francisco, California, USA.</w:t>
      </w:r>
    </w:p>
    <w:p w14:paraId="36F1DF7A">
      <w:pPr>
        <w:pStyle w:val="2"/>
        <w:rPr>
          <w:rFonts w:hint="eastAsia"/>
        </w:rPr>
      </w:pPr>
    </w:p>
    <w:p w14:paraId="67516748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In the United States, testing for latent tuberculosis (TB) infection </w:t>
      </w:r>
    </w:p>
    <w:p w14:paraId="0870D0FA">
      <w:pPr>
        <w:pStyle w:val="2"/>
        <w:rPr>
          <w:rFonts w:hint="eastAsia"/>
        </w:rPr>
      </w:pPr>
      <w:r>
        <w:rPr>
          <w:rFonts w:hint="eastAsia"/>
        </w:rPr>
        <w:t xml:space="preserve">is recommended for persons from higher-TB-prevalence countries, but guidelines </w:t>
      </w:r>
    </w:p>
    <w:p w14:paraId="4126D822">
      <w:pPr>
        <w:pStyle w:val="2"/>
        <w:rPr>
          <w:rFonts w:hint="eastAsia"/>
        </w:rPr>
      </w:pPr>
      <w:r>
        <w:rPr>
          <w:rFonts w:hint="eastAsia"/>
        </w:rPr>
        <w:t>do not address repeat testing for persons with international travel.</w:t>
      </w:r>
    </w:p>
    <w:p w14:paraId="43A12D8B">
      <w:pPr>
        <w:pStyle w:val="2"/>
        <w:rPr>
          <w:rFonts w:hint="eastAsia"/>
        </w:rPr>
      </w:pPr>
      <w:r>
        <w:rPr>
          <w:rFonts w:hint="eastAsia"/>
          <w:b/>
          <w:bCs/>
        </w:rPr>
        <w:t>METHODS: U</w:t>
      </w:r>
      <w:r>
        <w:rPr>
          <w:rFonts w:hint="eastAsia"/>
        </w:rPr>
        <w:t xml:space="preserve">sing 2010-2022 data from a Californian federally qualified health </w:t>
      </w:r>
    </w:p>
    <w:p w14:paraId="1CCEF617">
      <w:pPr>
        <w:pStyle w:val="2"/>
        <w:rPr>
          <w:rFonts w:hint="eastAsia"/>
        </w:rPr>
      </w:pPr>
      <w:r>
        <w:rPr>
          <w:rFonts w:hint="eastAsia"/>
        </w:rPr>
        <w:t xml:space="preserve">center serving an Asian American population, we measured the incidence of TB </w:t>
      </w:r>
    </w:p>
    <w:p w14:paraId="3216070C">
      <w:pPr>
        <w:pStyle w:val="2"/>
        <w:rPr>
          <w:rFonts w:hint="eastAsia"/>
        </w:rPr>
      </w:pPr>
      <w:r>
        <w:rPr>
          <w:rFonts w:hint="eastAsia"/>
        </w:rPr>
        <w:t xml:space="preserve">test conversion (negative to positive result) and proportion of test converters </w:t>
      </w:r>
    </w:p>
    <w:p w14:paraId="7FC769E4">
      <w:pPr>
        <w:pStyle w:val="2"/>
        <w:rPr>
          <w:rFonts w:hint="eastAsia"/>
        </w:rPr>
      </w:pPr>
      <w:r>
        <w:rPr>
          <w:rFonts w:hint="eastAsia"/>
        </w:rPr>
        <w:t xml:space="preserve">receiving treatment among routinely tested patients (ie, patients with no </w:t>
      </w:r>
    </w:p>
    <w:p w14:paraId="1E7EF972">
      <w:pPr>
        <w:pStyle w:val="2"/>
        <w:rPr>
          <w:rFonts w:hint="eastAsia"/>
        </w:rPr>
      </w:pPr>
      <w:r>
        <w:rPr>
          <w:rFonts w:hint="eastAsia"/>
        </w:rPr>
        <w:t xml:space="preserve">history of TB infection, at least one prior negative result, and annual or </w:t>
      </w:r>
    </w:p>
    <w:p w14:paraId="7DAE1280">
      <w:pPr>
        <w:pStyle w:val="2"/>
        <w:rPr>
          <w:rFonts w:hint="eastAsia"/>
        </w:rPr>
      </w:pPr>
      <w:r>
        <w:rPr>
          <w:rFonts w:hint="eastAsia"/>
        </w:rPr>
        <w:t xml:space="preserve">biennial TB testing). We performed a nested case-control study to measure the </w:t>
      </w:r>
    </w:p>
    <w:p w14:paraId="69EC7D6C">
      <w:pPr>
        <w:pStyle w:val="2"/>
        <w:rPr>
          <w:rFonts w:hint="eastAsia"/>
        </w:rPr>
      </w:pPr>
      <w:r>
        <w:rPr>
          <w:rFonts w:hint="eastAsia"/>
        </w:rPr>
        <w:t>association between TB test conversion and travel outside the United States.</w:t>
      </w:r>
    </w:p>
    <w:p w14:paraId="1D65437F">
      <w:pPr>
        <w:pStyle w:val="2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Of 5668 patients receiving routine TB testing at annual/biennial </w:t>
      </w:r>
    </w:p>
    <w:p w14:paraId="5E633B0D">
      <w:pPr>
        <w:pStyle w:val="2"/>
        <w:rPr>
          <w:rFonts w:hint="eastAsia"/>
        </w:rPr>
      </w:pPr>
      <w:r>
        <w:rPr>
          <w:rFonts w:hint="eastAsia"/>
        </w:rPr>
        <w:t xml:space="preserve">frequencies, conversions occurred in 117 patients with TB skin tests (2.9%) and </w:t>
      </w:r>
    </w:p>
    <w:p w14:paraId="7133C814">
      <w:pPr>
        <w:pStyle w:val="2"/>
        <w:rPr>
          <w:rFonts w:hint="eastAsia"/>
        </w:rPr>
      </w:pPr>
      <w:r>
        <w:rPr>
          <w:rFonts w:hint="eastAsia"/>
        </w:rPr>
        <w:t xml:space="preserve">52 patients with interferon-gamma release assays (3.2%); the overall test </w:t>
      </w:r>
    </w:p>
    <w:p w14:paraId="557483BF">
      <w:pPr>
        <w:pStyle w:val="2"/>
        <w:rPr>
          <w:rFonts w:hint="eastAsia"/>
        </w:rPr>
      </w:pPr>
      <w:r>
        <w:rPr>
          <w:rFonts w:hint="eastAsia"/>
        </w:rPr>
        <w:t xml:space="preserve">conversion incidence rate was 2.1/100 person-years. Latent TB infection </w:t>
      </w:r>
    </w:p>
    <w:p w14:paraId="1284F813">
      <w:pPr>
        <w:pStyle w:val="2"/>
        <w:rPr>
          <w:rFonts w:hint="eastAsia"/>
        </w:rPr>
      </w:pPr>
      <w:r>
        <w:rPr>
          <w:rFonts w:hint="eastAsia"/>
        </w:rPr>
        <w:t xml:space="preserve">treatment was initiated in 57% of test converters. Two patients were diagnosed </w:t>
      </w:r>
    </w:p>
    <w:p w14:paraId="664E3E40">
      <w:pPr>
        <w:pStyle w:val="2"/>
        <w:rPr>
          <w:rFonts w:hint="eastAsia"/>
        </w:rPr>
      </w:pPr>
      <w:r>
        <w:rPr>
          <w:rFonts w:hint="eastAsia"/>
        </w:rPr>
        <w:t xml:space="preserve">with TB disease after test conversion, representing a 2-year TB incidence rate </w:t>
      </w:r>
    </w:p>
    <w:p w14:paraId="04A4E7A0">
      <w:pPr>
        <w:pStyle w:val="2"/>
        <w:rPr>
          <w:rFonts w:hint="eastAsia"/>
        </w:rPr>
      </w:pPr>
      <w:r>
        <w:rPr>
          <w:rFonts w:hint="eastAsia"/>
        </w:rPr>
        <w:t xml:space="preserve">of 0.35/100 person-years. Patients with documented international travel had a </w:t>
      </w:r>
    </w:p>
    <w:p w14:paraId="7D9589EE">
      <w:pPr>
        <w:pStyle w:val="2"/>
        <w:rPr>
          <w:rFonts w:hint="eastAsia"/>
        </w:rPr>
      </w:pPr>
      <w:r>
        <w:rPr>
          <w:rFonts w:hint="eastAsia"/>
        </w:rPr>
        <w:t xml:space="preserve">1.95-fold increased odds of TB test conversion (95% confidence interval </w:t>
      </w:r>
    </w:p>
    <w:p w14:paraId="3A59E351">
      <w:pPr>
        <w:pStyle w:val="2"/>
        <w:rPr>
          <w:rFonts w:hint="eastAsia"/>
        </w:rPr>
      </w:pPr>
      <w:r>
        <w:rPr>
          <w:rFonts w:hint="eastAsia"/>
        </w:rPr>
        <w:t xml:space="preserve">1.07-3.57) compared to patients without documented travel, with most travel </w:t>
      </w:r>
    </w:p>
    <w:p w14:paraId="2CD71822">
      <w:pPr>
        <w:pStyle w:val="2"/>
        <w:rPr>
          <w:rFonts w:hint="eastAsia"/>
        </w:rPr>
      </w:pPr>
      <w:r>
        <w:rPr>
          <w:rFonts w:hint="eastAsia"/>
        </w:rPr>
        <w:t>occurring in medium or high-TB-prevalence countries.</w:t>
      </w:r>
    </w:p>
    <w:p w14:paraId="6DAFE93A">
      <w:pPr>
        <w:pStyle w:val="2"/>
        <w:rPr>
          <w:rFonts w:hint="eastAsia"/>
        </w:rPr>
      </w:pPr>
      <w:r>
        <w:rPr>
          <w:rFonts w:hint="eastAsia"/>
          <w:b/>
          <w:bCs/>
        </w:rPr>
        <w:t>CONCLUSIONS:</w:t>
      </w:r>
      <w:r>
        <w:rPr>
          <w:rFonts w:hint="eastAsia"/>
        </w:rPr>
        <w:t xml:space="preserve"> Within a 13-year study period, among a routinely tested population </w:t>
      </w:r>
    </w:p>
    <w:p w14:paraId="7FC2CB81">
      <w:pPr>
        <w:pStyle w:val="2"/>
        <w:rPr>
          <w:rFonts w:hint="eastAsia"/>
        </w:rPr>
      </w:pPr>
      <w:r>
        <w:rPr>
          <w:rFonts w:hint="eastAsia"/>
        </w:rPr>
        <w:t xml:space="preserve">at higher risk of TB infection due to race and nativity, risk of TB test </w:t>
      </w:r>
    </w:p>
    <w:p w14:paraId="298C1E9C">
      <w:pPr>
        <w:pStyle w:val="2"/>
        <w:rPr>
          <w:rFonts w:hint="eastAsia"/>
        </w:rPr>
      </w:pPr>
      <w:r>
        <w:rPr>
          <w:rFonts w:hint="eastAsia"/>
        </w:rPr>
        <w:t xml:space="preserve">conversion was low. However, recent travel to higher-TB-prevalence settings </w:t>
      </w:r>
    </w:p>
    <w:p w14:paraId="42BD5190">
      <w:pPr>
        <w:pStyle w:val="2"/>
        <w:rPr>
          <w:rFonts w:hint="eastAsia"/>
        </w:rPr>
      </w:pPr>
      <w:r>
        <w:rPr>
          <w:rFonts w:hint="eastAsia"/>
        </w:rPr>
        <w:t>nearly doubled the odds of TB test conversion.</w:t>
      </w:r>
    </w:p>
    <w:p w14:paraId="5F905F89">
      <w:pPr>
        <w:pStyle w:val="2"/>
        <w:rPr>
          <w:rFonts w:hint="eastAsia"/>
        </w:rPr>
      </w:pPr>
    </w:p>
    <w:p w14:paraId="618CFDFD">
      <w:pPr>
        <w:pStyle w:val="2"/>
        <w:rPr>
          <w:rFonts w:hint="eastAsia"/>
        </w:rPr>
      </w:pPr>
      <w:r>
        <w:rPr>
          <w:rFonts w:hint="eastAsia"/>
        </w:rPr>
        <w:t xml:space="preserve">© The Author(s) 2026. Published by Oxford University Press on behalf of </w:t>
      </w:r>
    </w:p>
    <w:p w14:paraId="05BF1C5B">
      <w:pPr>
        <w:pStyle w:val="2"/>
        <w:rPr>
          <w:rFonts w:hint="eastAsia"/>
        </w:rPr>
      </w:pPr>
      <w:r>
        <w:rPr>
          <w:rFonts w:hint="eastAsia"/>
        </w:rPr>
        <w:t>Infectious Diseases Society of America.</w:t>
      </w:r>
    </w:p>
    <w:p w14:paraId="114AB50B">
      <w:pPr>
        <w:pStyle w:val="2"/>
        <w:rPr>
          <w:rFonts w:hint="eastAsia"/>
        </w:rPr>
      </w:pPr>
    </w:p>
    <w:p w14:paraId="6C72D90E">
      <w:pPr>
        <w:pStyle w:val="2"/>
        <w:rPr>
          <w:rFonts w:hint="eastAsia"/>
        </w:rPr>
      </w:pPr>
      <w:r>
        <w:rPr>
          <w:rFonts w:hint="eastAsia"/>
        </w:rPr>
        <w:t>DOI: 10.1093/ofid/ofag606</w:t>
      </w:r>
    </w:p>
    <w:p w14:paraId="5022EC2A">
      <w:pPr>
        <w:pStyle w:val="2"/>
        <w:rPr>
          <w:rFonts w:hint="eastAsia"/>
        </w:rPr>
      </w:pPr>
      <w:r>
        <w:rPr>
          <w:rFonts w:hint="eastAsia"/>
        </w:rPr>
        <w:t>PMCID: PMC13650484</w:t>
      </w:r>
    </w:p>
    <w:p w14:paraId="74A7AE63">
      <w:pPr>
        <w:pStyle w:val="2"/>
        <w:rPr>
          <w:rFonts w:hint="eastAsia"/>
        </w:rPr>
      </w:pPr>
      <w:r>
        <w:rPr>
          <w:rFonts w:hint="eastAsia"/>
        </w:rPr>
        <w:t>PMID: 42856908</w:t>
      </w:r>
    </w:p>
    <w:p w14:paraId="08F39766">
      <w:pPr>
        <w:pStyle w:val="2"/>
        <w:rPr>
          <w:rFonts w:hint="eastAsia"/>
        </w:rPr>
      </w:pPr>
    </w:p>
    <w:p w14:paraId="53124986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10</w:t>
      </w:r>
      <w:r>
        <w:rPr>
          <w:rFonts w:hint="eastAsia"/>
          <w:b/>
          <w:bCs/>
          <w:color w:val="FF0000"/>
        </w:rPr>
        <w:t>. Thorax. 2026 Oct 9:thorax-2026-225348. doi: 10.1136/thorax-2026-225348. Online ahead of print.</w:t>
      </w:r>
    </w:p>
    <w:p w14:paraId="282A418B">
      <w:pPr>
        <w:pStyle w:val="2"/>
        <w:rPr>
          <w:rFonts w:hint="eastAsia"/>
        </w:rPr>
      </w:pPr>
    </w:p>
    <w:p w14:paraId="77A040DA">
      <w:pPr>
        <w:pStyle w:val="2"/>
        <w:rPr>
          <w:rFonts w:hint="eastAsia"/>
        </w:rPr>
      </w:pPr>
      <w:r>
        <w:rPr>
          <w:rFonts w:hint="eastAsia"/>
        </w:rPr>
        <w:t>Post-tuberculosis lung health in children and adolescents: beyond cure.</w:t>
      </w:r>
    </w:p>
    <w:p w14:paraId="3E9D69AF">
      <w:pPr>
        <w:pStyle w:val="2"/>
        <w:rPr>
          <w:rFonts w:hint="eastAsia"/>
        </w:rPr>
      </w:pPr>
    </w:p>
    <w:p w14:paraId="15E19EA3">
      <w:pPr>
        <w:pStyle w:val="2"/>
        <w:rPr>
          <w:rFonts w:hint="eastAsia"/>
        </w:rPr>
      </w:pPr>
      <w:r>
        <w:rPr>
          <w:rFonts w:hint="eastAsia"/>
        </w:rPr>
        <w:t>Chaya S(1), Gray DM(2).</w:t>
      </w:r>
    </w:p>
    <w:p w14:paraId="1E1E2EB9">
      <w:pPr>
        <w:pStyle w:val="2"/>
        <w:rPr>
          <w:rFonts w:hint="eastAsia"/>
        </w:rPr>
      </w:pPr>
    </w:p>
    <w:p w14:paraId="635F842D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7B7F7599">
      <w:pPr>
        <w:pStyle w:val="2"/>
        <w:rPr>
          <w:rFonts w:hint="eastAsia"/>
        </w:rPr>
      </w:pPr>
      <w:r>
        <w:rPr>
          <w:rFonts w:hint="eastAsia"/>
        </w:rPr>
        <w:t xml:space="preserve">(1)Paediatrics and Child Health and SA-MRC Unit on Child and Adolescent Health, </w:t>
      </w:r>
    </w:p>
    <w:p w14:paraId="25B02926">
      <w:pPr>
        <w:pStyle w:val="2"/>
        <w:rPr>
          <w:rFonts w:hint="eastAsia"/>
        </w:rPr>
      </w:pPr>
      <w:r>
        <w:rPr>
          <w:rFonts w:hint="eastAsia"/>
        </w:rPr>
        <w:t>University of Cape Town, Cape Town, South Africa.</w:t>
      </w:r>
    </w:p>
    <w:p w14:paraId="34E3B9B4">
      <w:pPr>
        <w:pStyle w:val="2"/>
        <w:rPr>
          <w:rFonts w:hint="eastAsia"/>
        </w:rPr>
      </w:pPr>
      <w:r>
        <w:rPr>
          <w:rFonts w:hint="eastAsia"/>
        </w:rPr>
        <w:t xml:space="preserve">(2)Paediatrics and Child Health, University of Cape Town, Cape Town, South </w:t>
      </w:r>
    </w:p>
    <w:p w14:paraId="79A3B966">
      <w:pPr>
        <w:pStyle w:val="2"/>
        <w:rPr>
          <w:rFonts w:hint="eastAsia"/>
        </w:rPr>
      </w:pPr>
      <w:r>
        <w:rPr>
          <w:rFonts w:hint="eastAsia"/>
        </w:rPr>
        <w:t>Africa diane.gray@uct.ac.za.</w:t>
      </w:r>
    </w:p>
    <w:p w14:paraId="7EBF2B8D">
      <w:pPr>
        <w:pStyle w:val="2"/>
        <w:rPr>
          <w:rFonts w:hint="eastAsia"/>
        </w:rPr>
      </w:pPr>
    </w:p>
    <w:p w14:paraId="13B1FB60">
      <w:pPr>
        <w:pStyle w:val="2"/>
        <w:rPr>
          <w:rFonts w:hint="eastAsia"/>
        </w:rPr>
      </w:pPr>
      <w:r>
        <w:rPr>
          <w:rFonts w:hint="eastAsia"/>
        </w:rPr>
        <w:t>DOI: 10.1136/thorax-2026-225348</w:t>
      </w:r>
    </w:p>
    <w:p w14:paraId="0BFA462A">
      <w:pPr>
        <w:pStyle w:val="2"/>
        <w:rPr>
          <w:rFonts w:hint="eastAsia"/>
        </w:rPr>
      </w:pPr>
      <w:r>
        <w:rPr>
          <w:rFonts w:hint="eastAsia"/>
        </w:rPr>
        <w:t>PMID: 42855304</w:t>
      </w:r>
    </w:p>
    <w:p w14:paraId="46030FA8">
      <w:pPr>
        <w:pStyle w:val="2"/>
        <w:rPr>
          <w:rFonts w:hint="eastAsia"/>
        </w:rPr>
      </w:pPr>
    </w:p>
    <w:p w14:paraId="6E1A7DC2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</w:t>
      </w:r>
      <w:r>
        <w:rPr>
          <w:rFonts w:hint="eastAsia"/>
          <w:b/>
          <w:bCs/>
          <w:color w:val="FF0000"/>
          <w:lang w:val="en-US" w:eastAsia="zh-CN"/>
        </w:rPr>
        <w:t>1</w:t>
      </w:r>
      <w:r>
        <w:rPr>
          <w:rFonts w:hint="eastAsia"/>
          <w:b/>
          <w:bCs/>
          <w:color w:val="FF0000"/>
        </w:rPr>
        <w:t>. Thorax. 2026 Oct 9:thorax-2026-225077. doi: 10.1136/thorax-2026-225077. Online ahead of print.</w:t>
      </w:r>
    </w:p>
    <w:p w14:paraId="6A1505B5">
      <w:pPr>
        <w:pStyle w:val="2"/>
        <w:rPr>
          <w:rFonts w:hint="eastAsia"/>
        </w:rPr>
      </w:pPr>
    </w:p>
    <w:p w14:paraId="77171605">
      <w:pPr>
        <w:pStyle w:val="2"/>
        <w:rPr>
          <w:rFonts w:hint="eastAsia"/>
        </w:rPr>
      </w:pPr>
      <w:r>
        <w:rPr>
          <w:rFonts w:hint="eastAsia"/>
        </w:rPr>
        <w:t xml:space="preserve">Lung function trajectories after pulmonary tuberculosis in children and </w:t>
      </w:r>
    </w:p>
    <w:p w14:paraId="171403D7">
      <w:pPr>
        <w:pStyle w:val="2"/>
        <w:rPr>
          <w:rFonts w:hint="eastAsia"/>
        </w:rPr>
      </w:pPr>
      <w:r>
        <w:rPr>
          <w:rFonts w:hint="eastAsia"/>
        </w:rPr>
        <w:t>adolescents: a prospective cohort study.</w:t>
      </w:r>
    </w:p>
    <w:p w14:paraId="0CF6C35E">
      <w:pPr>
        <w:pStyle w:val="2"/>
        <w:rPr>
          <w:rFonts w:hint="eastAsia"/>
        </w:rPr>
      </w:pPr>
    </w:p>
    <w:p w14:paraId="3B3365EB">
      <w:pPr>
        <w:pStyle w:val="2"/>
        <w:rPr>
          <w:rFonts w:hint="eastAsia"/>
        </w:rPr>
      </w:pPr>
      <w:r>
        <w:rPr>
          <w:rFonts w:hint="eastAsia"/>
        </w:rPr>
        <w:t xml:space="preserve">Nkereuwem E(1)(2)(3), Agbla S(4)(5), Edem VF(6)(7), Owolabi O(8), Jatta ML(6), </w:t>
      </w:r>
    </w:p>
    <w:p w14:paraId="56FD2BF0">
      <w:pPr>
        <w:pStyle w:val="2"/>
        <w:rPr>
          <w:rFonts w:hint="eastAsia"/>
        </w:rPr>
      </w:pPr>
      <w:r>
        <w:rPr>
          <w:rFonts w:hint="eastAsia"/>
        </w:rPr>
        <w:t xml:space="preserve">Njai B(9), Masterton U(9), Genekah ME(9), Jah F(9), Owusu S(9)(10)(11), Sanyang </w:t>
      </w:r>
    </w:p>
    <w:p w14:paraId="1AD772CF">
      <w:pPr>
        <w:pStyle w:val="2"/>
        <w:rPr>
          <w:rFonts w:hint="eastAsia"/>
        </w:rPr>
      </w:pPr>
      <w:r>
        <w:rPr>
          <w:rFonts w:hint="eastAsia"/>
        </w:rPr>
        <w:t xml:space="preserve">F(9), Saidy L(12), Samateh W(13), Darboe ML(13), Kampmann B(8)(14), Togun </w:t>
      </w:r>
    </w:p>
    <w:p w14:paraId="1D4B9F72">
      <w:pPr>
        <w:pStyle w:val="2"/>
        <w:rPr>
          <w:rFonts w:hint="eastAsia"/>
        </w:rPr>
      </w:pPr>
      <w:r>
        <w:rPr>
          <w:rFonts w:hint="eastAsia"/>
        </w:rPr>
        <w:t>TO(6)(3)(10).</w:t>
      </w:r>
    </w:p>
    <w:p w14:paraId="159E5ABC">
      <w:pPr>
        <w:pStyle w:val="2"/>
        <w:rPr>
          <w:rFonts w:hint="eastAsia"/>
        </w:rPr>
      </w:pPr>
    </w:p>
    <w:p w14:paraId="654BF32D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24B4838C">
      <w:pPr>
        <w:pStyle w:val="2"/>
        <w:rPr>
          <w:rFonts w:hint="eastAsia"/>
        </w:rPr>
      </w:pPr>
      <w:r>
        <w:rPr>
          <w:rFonts w:hint="eastAsia"/>
        </w:rPr>
        <w:t xml:space="preserve">(1)Vaccines and Immunity Theme, Medical Research Council Unit, The Gambia at the </w:t>
      </w:r>
    </w:p>
    <w:p w14:paraId="4122DF8B">
      <w:pPr>
        <w:pStyle w:val="2"/>
        <w:rPr>
          <w:rFonts w:hint="eastAsia"/>
        </w:rPr>
      </w:pPr>
      <w:r>
        <w:rPr>
          <w:rFonts w:hint="eastAsia"/>
        </w:rPr>
        <w:t xml:space="preserve">London School of Hygiene and Tropical Medicine, Banjul, Gambia </w:t>
      </w:r>
    </w:p>
    <w:p w14:paraId="21905187">
      <w:pPr>
        <w:pStyle w:val="2"/>
        <w:rPr>
          <w:rFonts w:hint="eastAsia"/>
        </w:rPr>
      </w:pPr>
      <w:r>
        <w:rPr>
          <w:rFonts w:hint="eastAsia"/>
        </w:rPr>
        <w:t>esin.nkereuwem@lshtm.ac.uk.</w:t>
      </w:r>
    </w:p>
    <w:p w14:paraId="5BD3A744">
      <w:pPr>
        <w:pStyle w:val="2"/>
        <w:rPr>
          <w:rFonts w:hint="eastAsia"/>
        </w:rPr>
      </w:pPr>
      <w:r>
        <w:rPr>
          <w:rFonts w:hint="eastAsia"/>
        </w:rPr>
        <w:t xml:space="preserve">(2)Faculty Infectious and Tropical Diseases, London School of Hygiene &amp; Tropical </w:t>
      </w:r>
    </w:p>
    <w:p w14:paraId="630DB888">
      <w:pPr>
        <w:pStyle w:val="2"/>
        <w:rPr>
          <w:rFonts w:hint="eastAsia"/>
        </w:rPr>
      </w:pPr>
      <w:r>
        <w:rPr>
          <w:rFonts w:hint="eastAsia"/>
        </w:rPr>
        <w:t>Medicine, London, England, UK.</w:t>
      </w:r>
    </w:p>
    <w:p w14:paraId="53DCB888">
      <w:pPr>
        <w:pStyle w:val="2"/>
        <w:rPr>
          <w:rFonts w:hint="eastAsia"/>
        </w:rPr>
      </w:pPr>
      <w:r>
        <w:rPr>
          <w:rFonts w:hint="eastAsia"/>
        </w:rPr>
        <w:t>(3)TB Centre, London School of Hygiene &amp; Tropical Medicine, London, England, UK.</w:t>
      </w:r>
    </w:p>
    <w:p w14:paraId="3A6F25F2">
      <w:pPr>
        <w:pStyle w:val="2"/>
        <w:rPr>
          <w:rFonts w:hint="eastAsia"/>
        </w:rPr>
      </w:pPr>
      <w:r>
        <w:rPr>
          <w:rFonts w:hint="eastAsia"/>
        </w:rPr>
        <w:t>(4)Department of Health Data Science, University of Liverpool, Liverpool, UK.</w:t>
      </w:r>
    </w:p>
    <w:p w14:paraId="6388FAD7">
      <w:pPr>
        <w:pStyle w:val="2"/>
        <w:rPr>
          <w:rFonts w:hint="eastAsia"/>
        </w:rPr>
      </w:pPr>
      <w:r>
        <w:rPr>
          <w:rFonts w:hint="eastAsia"/>
        </w:rPr>
        <w:t xml:space="preserve">(5)Department of Infectious Diseases Epidemiology, London School of Hygiene &amp; </w:t>
      </w:r>
    </w:p>
    <w:p w14:paraId="165824EA">
      <w:pPr>
        <w:pStyle w:val="2"/>
        <w:rPr>
          <w:rFonts w:hint="eastAsia"/>
        </w:rPr>
      </w:pPr>
      <w:r>
        <w:rPr>
          <w:rFonts w:hint="eastAsia"/>
        </w:rPr>
        <w:t>Tropical Medicine, London, England, UK.</w:t>
      </w:r>
    </w:p>
    <w:p w14:paraId="759C40D5">
      <w:pPr>
        <w:pStyle w:val="2"/>
        <w:rPr>
          <w:rFonts w:hint="eastAsia"/>
        </w:rPr>
      </w:pPr>
      <w:r>
        <w:rPr>
          <w:rFonts w:hint="eastAsia"/>
        </w:rPr>
        <w:t xml:space="preserve">(6)Vaccines and Immunity Theme, Medical Research Council Unit, The Gambia at the </w:t>
      </w:r>
    </w:p>
    <w:p w14:paraId="33048385">
      <w:pPr>
        <w:pStyle w:val="2"/>
        <w:rPr>
          <w:rFonts w:hint="eastAsia"/>
        </w:rPr>
      </w:pPr>
      <w:r>
        <w:rPr>
          <w:rFonts w:hint="eastAsia"/>
        </w:rPr>
        <w:t>London School of Hygiene and Tropical Medicine, Banjul, Gambia.</w:t>
      </w:r>
    </w:p>
    <w:p w14:paraId="6EEE33B0">
      <w:pPr>
        <w:pStyle w:val="2"/>
        <w:rPr>
          <w:rFonts w:hint="eastAsia"/>
        </w:rPr>
      </w:pPr>
      <w:r>
        <w:rPr>
          <w:rFonts w:hint="eastAsia"/>
        </w:rPr>
        <w:t>(7)Department of Immunology, University of Ibadan, Ibadan, Nigeria.</w:t>
      </w:r>
    </w:p>
    <w:p w14:paraId="02D41863">
      <w:pPr>
        <w:pStyle w:val="2"/>
        <w:rPr>
          <w:rFonts w:hint="eastAsia"/>
        </w:rPr>
      </w:pPr>
      <w:r>
        <w:rPr>
          <w:rFonts w:hint="eastAsia"/>
        </w:rPr>
        <w:t xml:space="preserve">(8)Vaccines and Immunity Theme, Medical Research Council Unit The Gambia at the </w:t>
      </w:r>
    </w:p>
    <w:p w14:paraId="49B0C8A5">
      <w:pPr>
        <w:pStyle w:val="2"/>
        <w:rPr>
          <w:rFonts w:hint="eastAsia"/>
        </w:rPr>
      </w:pPr>
      <w:r>
        <w:rPr>
          <w:rFonts w:hint="eastAsia"/>
        </w:rPr>
        <w:t>London School of Hygiene and Tropical Medicine, Fajara, Gambia.</w:t>
      </w:r>
    </w:p>
    <w:p w14:paraId="6BDBCF3E">
      <w:pPr>
        <w:pStyle w:val="2"/>
        <w:rPr>
          <w:rFonts w:hint="eastAsia"/>
        </w:rPr>
      </w:pPr>
      <w:r>
        <w:rPr>
          <w:rFonts w:hint="eastAsia"/>
        </w:rPr>
        <w:t>(9)Vaccines and Immunity Theme, MRC Unit The Gambia at LSHTM, Fajara, Gambia.</w:t>
      </w:r>
    </w:p>
    <w:p w14:paraId="21C1A6B9">
      <w:pPr>
        <w:pStyle w:val="2"/>
        <w:rPr>
          <w:rFonts w:hint="eastAsia"/>
        </w:rPr>
      </w:pPr>
      <w:r>
        <w:rPr>
          <w:rFonts w:hint="eastAsia"/>
        </w:rPr>
        <w:t xml:space="preserve">(10)Clinical Research Department, London School of Hygiene and Tropical Medicine </w:t>
      </w:r>
    </w:p>
    <w:p w14:paraId="08CEE070">
      <w:pPr>
        <w:pStyle w:val="2"/>
        <w:rPr>
          <w:rFonts w:hint="eastAsia"/>
        </w:rPr>
      </w:pPr>
      <w:r>
        <w:rPr>
          <w:rFonts w:hint="eastAsia"/>
        </w:rPr>
        <w:t>Faculty of Infectious and Tropical Diseases, London, UK.</w:t>
      </w:r>
    </w:p>
    <w:p w14:paraId="07FAE87A">
      <w:pPr>
        <w:pStyle w:val="2"/>
        <w:rPr>
          <w:rFonts w:hint="eastAsia"/>
        </w:rPr>
      </w:pPr>
      <w:r>
        <w:rPr>
          <w:rFonts w:hint="eastAsia"/>
        </w:rPr>
        <w:t xml:space="preserve">(11)Department of Paediatrics and Child Health, University for Development </w:t>
      </w:r>
    </w:p>
    <w:p w14:paraId="336F986E">
      <w:pPr>
        <w:pStyle w:val="2"/>
        <w:rPr>
          <w:rFonts w:hint="eastAsia"/>
        </w:rPr>
      </w:pPr>
      <w:r>
        <w:rPr>
          <w:rFonts w:hint="eastAsia"/>
        </w:rPr>
        <w:t>Studies, Tamale, Northern Region, Ghana.</w:t>
      </w:r>
    </w:p>
    <w:p w14:paraId="6BEB477D">
      <w:pPr>
        <w:pStyle w:val="2"/>
        <w:rPr>
          <w:rFonts w:hint="eastAsia"/>
        </w:rPr>
      </w:pPr>
      <w:r>
        <w:rPr>
          <w:rFonts w:hint="eastAsia"/>
        </w:rPr>
        <w:t xml:space="preserve">(12)Medical Research Council Unit, The Gambia at the London School of Hygiene </w:t>
      </w:r>
    </w:p>
    <w:p w14:paraId="3228C5FF">
      <w:pPr>
        <w:pStyle w:val="2"/>
        <w:rPr>
          <w:rFonts w:hint="eastAsia"/>
        </w:rPr>
      </w:pPr>
      <w:r>
        <w:rPr>
          <w:rFonts w:hint="eastAsia"/>
        </w:rPr>
        <w:t>and Tropical Medicine, Fajara, Gambia.</w:t>
      </w:r>
    </w:p>
    <w:p w14:paraId="50C1E177">
      <w:pPr>
        <w:pStyle w:val="2"/>
        <w:rPr>
          <w:rFonts w:hint="eastAsia"/>
        </w:rPr>
      </w:pPr>
      <w:r>
        <w:rPr>
          <w:rFonts w:hint="eastAsia"/>
        </w:rPr>
        <w:t xml:space="preserve">(13)National Leprosy and Tuberculosis Control Programme, Ministry of Health, </w:t>
      </w:r>
    </w:p>
    <w:p w14:paraId="09B5FA32">
      <w:pPr>
        <w:pStyle w:val="2"/>
        <w:rPr>
          <w:rFonts w:hint="eastAsia"/>
        </w:rPr>
      </w:pPr>
      <w:r>
        <w:rPr>
          <w:rFonts w:hint="eastAsia"/>
        </w:rPr>
        <w:t>Kanifing, Gambia.</w:t>
      </w:r>
    </w:p>
    <w:p w14:paraId="7FA541A9">
      <w:pPr>
        <w:pStyle w:val="2"/>
        <w:rPr>
          <w:rFonts w:hint="eastAsia"/>
        </w:rPr>
      </w:pPr>
      <w:r>
        <w:rPr>
          <w:rFonts w:hint="eastAsia"/>
        </w:rPr>
        <w:t xml:space="preserve">(14)Charité Center for Global Health, Charite-Universitatsmedizin Berlin, </w:t>
      </w:r>
    </w:p>
    <w:p w14:paraId="3310B5B0">
      <w:pPr>
        <w:pStyle w:val="2"/>
        <w:rPr>
          <w:rFonts w:hint="eastAsia"/>
        </w:rPr>
      </w:pPr>
      <w:r>
        <w:rPr>
          <w:rFonts w:hint="eastAsia"/>
        </w:rPr>
        <w:t>Berlin, Germany.</w:t>
      </w:r>
    </w:p>
    <w:p w14:paraId="4A0CDBF4">
      <w:pPr>
        <w:pStyle w:val="2"/>
        <w:rPr>
          <w:rFonts w:hint="eastAsia"/>
        </w:rPr>
      </w:pPr>
    </w:p>
    <w:p w14:paraId="37354629">
      <w:pPr>
        <w:pStyle w:val="2"/>
        <w:rPr>
          <w:rFonts w:hint="eastAsia"/>
        </w:rPr>
      </w:pPr>
      <w:r>
        <w:rPr>
          <w:rFonts w:hint="eastAsia"/>
        </w:rPr>
        <w:t>DOI: 10.1136/thorax-2026-225077</w:t>
      </w:r>
    </w:p>
    <w:p w14:paraId="11D28E0A">
      <w:pPr>
        <w:pStyle w:val="2"/>
        <w:rPr>
          <w:rFonts w:hint="eastAsia"/>
        </w:rPr>
      </w:pPr>
      <w:r>
        <w:rPr>
          <w:rFonts w:hint="eastAsia"/>
        </w:rPr>
        <w:t>PMID: 42855303</w:t>
      </w:r>
    </w:p>
    <w:p w14:paraId="499C6A0B">
      <w:pPr>
        <w:pStyle w:val="2"/>
        <w:rPr>
          <w:rFonts w:hint="eastAsia"/>
        </w:rPr>
      </w:pPr>
    </w:p>
    <w:p w14:paraId="77B54187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</w:t>
      </w:r>
      <w:r>
        <w:rPr>
          <w:rFonts w:hint="eastAsia"/>
          <w:b/>
          <w:bCs/>
          <w:color w:val="FF0000"/>
          <w:lang w:val="en-US" w:eastAsia="zh-CN"/>
        </w:rPr>
        <w:t>2</w:t>
      </w:r>
      <w:r>
        <w:rPr>
          <w:rFonts w:hint="eastAsia"/>
          <w:b/>
          <w:bCs/>
          <w:color w:val="FF0000"/>
        </w:rPr>
        <w:t>. Eur Respir J. 2026 Oct 9;68(4):2601322. doi: 10.1183/13993003.01322-2026. Print 2026 Oct.</w:t>
      </w:r>
    </w:p>
    <w:p w14:paraId="5BA7E391">
      <w:pPr>
        <w:pStyle w:val="2"/>
        <w:rPr>
          <w:rFonts w:hint="eastAsia"/>
        </w:rPr>
      </w:pPr>
    </w:p>
    <w:p w14:paraId="4AE93235">
      <w:pPr>
        <w:pStyle w:val="2"/>
        <w:rPr>
          <w:rFonts w:hint="eastAsia"/>
        </w:rPr>
      </w:pPr>
      <w:r>
        <w:rPr>
          <w:rFonts w:hint="eastAsia"/>
        </w:rPr>
        <w:t xml:space="preserve">Reply to: Real-world safety signals of isoniazid in adults and children: a </w:t>
      </w:r>
    </w:p>
    <w:p w14:paraId="43FBB855">
      <w:pPr>
        <w:pStyle w:val="2"/>
        <w:rPr>
          <w:rFonts w:hint="eastAsia"/>
        </w:rPr>
      </w:pPr>
      <w:r>
        <w:rPr>
          <w:rFonts w:hint="eastAsia"/>
        </w:rPr>
        <w:t>complementary FAERS analysis to inform paediatric dose optimisation.</w:t>
      </w:r>
    </w:p>
    <w:p w14:paraId="1D3E539E">
      <w:pPr>
        <w:pStyle w:val="2"/>
        <w:rPr>
          <w:rFonts w:hint="eastAsia"/>
        </w:rPr>
      </w:pPr>
    </w:p>
    <w:p w14:paraId="7B523679">
      <w:pPr>
        <w:pStyle w:val="2"/>
        <w:rPr>
          <w:rFonts w:hint="eastAsia"/>
        </w:rPr>
      </w:pPr>
      <w:r>
        <w:rPr>
          <w:rFonts w:hint="eastAsia"/>
        </w:rPr>
        <w:t>Béranger A(1)(2), Solans BP(3)(4), Savic RM(5)(4).</w:t>
      </w:r>
    </w:p>
    <w:p w14:paraId="64F487F6">
      <w:pPr>
        <w:pStyle w:val="2"/>
        <w:rPr>
          <w:rFonts w:hint="eastAsia"/>
        </w:rPr>
      </w:pPr>
    </w:p>
    <w:p w14:paraId="53D314B6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62BDAE97">
      <w:pPr>
        <w:pStyle w:val="2"/>
        <w:rPr>
          <w:rFonts w:hint="eastAsia"/>
        </w:rPr>
      </w:pPr>
      <w:r>
        <w:rPr>
          <w:rFonts w:hint="eastAsia"/>
        </w:rPr>
        <w:t xml:space="preserve">(1)Université Paris Cité, Inserm, UMR1343, Pharmacologie et évaluations des </w:t>
      </w:r>
    </w:p>
    <w:p w14:paraId="6C0BB2B4">
      <w:pPr>
        <w:pStyle w:val="2"/>
        <w:rPr>
          <w:rFonts w:hint="eastAsia"/>
        </w:rPr>
      </w:pPr>
      <w:r>
        <w:rPr>
          <w:rFonts w:hint="eastAsia"/>
        </w:rPr>
        <w:t>thérapeutiques chez l'enfant et la femme enceinte, Paris, France.</w:t>
      </w:r>
    </w:p>
    <w:p w14:paraId="6AB5BBC3">
      <w:pPr>
        <w:pStyle w:val="2"/>
        <w:rPr>
          <w:rFonts w:hint="eastAsia"/>
        </w:rPr>
      </w:pPr>
      <w:r>
        <w:rPr>
          <w:rFonts w:hint="eastAsia"/>
        </w:rPr>
        <w:t xml:space="preserve">(2)Réanimation et Soins Intensifs Polyvalents Pédiatriques - SMUR pédiatrique, </w:t>
      </w:r>
    </w:p>
    <w:p w14:paraId="3C95B31E">
      <w:pPr>
        <w:pStyle w:val="2"/>
        <w:rPr>
          <w:rFonts w:hint="eastAsia"/>
        </w:rPr>
      </w:pPr>
      <w:r>
        <w:rPr>
          <w:rFonts w:hint="eastAsia"/>
        </w:rPr>
        <w:t xml:space="preserve">AP-HP.centre - Université de Paris, Hôpital Necker Enfants malades, Paris, </w:t>
      </w:r>
    </w:p>
    <w:p w14:paraId="2943494B">
      <w:pPr>
        <w:pStyle w:val="2"/>
        <w:rPr>
          <w:rFonts w:hint="eastAsia"/>
        </w:rPr>
      </w:pPr>
      <w:r>
        <w:rPr>
          <w:rFonts w:hint="eastAsia"/>
        </w:rPr>
        <w:t>France.</w:t>
      </w:r>
    </w:p>
    <w:p w14:paraId="6435DCFE">
      <w:pPr>
        <w:pStyle w:val="2"/>
        <w:rPr>
          <w:rFonts w:hint="eastAsia"/>
        </w:rPr>
      </w:pPr>
      <w:r>
        <w:rPr>
          <w:rFonts w:hint="eastAsia"/>
        </w:rPr>
        <w:t xml:space="preserve">(3)Department of Bioengineering and Therapeutic Sciences, University of </w:t>
      </w:r>
    </w:p>
    <w:p w14:paraId="232211DF">
      <w:pPr>
        <w:pStyle w:val="2"/>
        <w:rPr>
          <w:rFonts w:hint="eastAsia"/>
        </w:rPr>
      </w:pPr>
      <w:r>
        <w:rPr>
          <w:rFonts w:hint="eastAsia"/>
        </w:rPr>
        <w:t>California San Francisco, San Francisco, CA, USA.</w:t>
      </w:r>
    </w:p>
    <w:p w14:paraId="5801598A">
      <w:pPr>
        <w:pStyle w:val="2"/>
        <w:rPr>
          <w:rFonts w:hint="eastAsia"/>
        </w:rPr>
      </w:pPr>
      <w:r>
        <w:rPr>
          <w:rFonts w:hint="eastAsia"/>
        </w:rPr>
        <w:t xml:space="preserve">(4)UCSF Center for Tuberculosis, University of California San Francisco, San </w:t>
      </w:r>
    </w:p>
    <w:p w14:paraId="5683FDA1">
      <w:pPr>
        <w:pStyle w:val="2"/>
        <w:rPr>
          <w:rFonts w:hint="eastAsia"/>
        </w:rPr>
      </w:pPr>
      <w:r>
        <w:rPr>
          <w:rFonts w:hint="eastAsia"/>
        </w:rPr>
        <w:t>Francisco, CA, USA.</w:t>
      </w:r>
    </w:p>
    <w:p w14:paraId="05E1D07E">
      <w:pPr>
        <w:pStyle w:val="2"/>
        <w:rPr>
          <w:rFonts w:hint="eastAsia"/>
        </w:rPr>
      </w:pPr>
      <w:r>
        <w:rPr>
          <w:rFonts w:hint="eastAsia"/>
        </w:rPr>
        <w:t xml:space="preserve">(5)Department of Bioengineering and Therapeutic Sciences, University of </w:t>
      </w:r>
    </w:p>
    <w:p w14:paraId="1118F3EB">
      <w:pPr>
        <w:pStyle w:val="2"/>
        <w:rPr>
          <w:rFonts w:hint="eastAsia"/>
        </w:rPr>
      </w:pPr>
      <w:r>
        <w:rPr>
          <w:rFonts w:hint="eastAsia"/>
        </w:rPr>
        <w:t>California San Francisco, San Francisco, CA, USA rada.savic@ucsf.edu.</w:t>
      </w:r>
    </w:p>
    <w:p w14:paraId="72B9F1BA">
      <w:pPr>
        <w:pStyle w:val="2"/>
        <w:rPr>
          <w:rFonts w:hint="eastAsia"/>
        </w:rPr>
      </w:pPr>
    </w:p>
    <w:p w14:paraId="0A8FA13A">
      <w:pPr>
        <w:pStyle w:val="2"/>
        <w:rPr>
          <w:rFonts w:hint="eastAsia"/>
        </w:rPr>
      </w:pPr>
      <w:r>
        <w:rPr>
          <w:rFonts w:hint="eastAsia"/>
        </w:rPr>
        <w:t>Comment on</w:t>
      </w:r>
    </w:p>
    <w:p w14:paraId="0A96D24D">
      <w:pPr>
        <w:pStyle w:val="2"/>
        <w:rPr>
          <w:rFonts w:hint="eastAsia"/>
        </w:rPr>
      </w:pPr>
      <w:r>
        <w:rPr>
          <w:rFonts w:hint="eastAsia"/>
        </w:rPr>
        <w:t xml:space="preserve">    Eur Respir J. 2026 Mar 5;67(3):2501046. doi: 10.1183/13993003.01046-2025.</w:t>
      </w:r>
    </w:p>
    <w:p w14:paraId="3A9BFD16">
      <w:pPr>
        <w:pStyle w:val="2"/>
        <w:rPr>
          <w:rFonts w:hint="eastAsia"/>
        </w:rPr>
      </w:pPr>
    </w:p>
    <w:p w14:paraId="7FF18E0D">
      <w:pPr>
        <w:pStyle w:val="2"/>
        <w:rPr>
          <w:rFonts w:hint="eastAsia"/>
        </w:rPr>
      </w:pPr>
      <w:r>
        <w:rPr>
          <w:rFonts w:hint="eastAsia"/>
        </w:rPr>
        <w:t xml:space="preserve">All children receiving anti-tuberculosis treatment require thorough monitoring </w:t>
      </w:r>
    </w:p>
    <w:p w14:paraId="03DA5BE2">
      <w:pPr>
        <w:pStyle w:val="2"/>
        <w:rPr>
          <w:rFonts w:hint="eastAsia"/>
        </w:rPr>
      </w:pPr>
      <w:r>
        <w:rPr>
          <w:rFonts w:hint="eastAsia"/>
        </w:rPr>
        <w:t xml:space="preserve">to prevent adverse events. All pharmacokinetic studies should analyse efficacy </w:t>
      </w:r>
    </w:p>
    <w:p w14:paraId="0DD6CAE2">
      <w:pPr>
        <w:pStyle w:val="2"/>
        <w:rPr>
          <w:rFonts w:hint="eastAsia"/>
        </w:rPr>
      </w:pPr>
      <w:r>
        <w:rPr>
          <w:rFonts w:hint="eastAsia"/>
        </w:rPr>
        <w:t>and safety data. https://bit.ly/4b8c4K0</w:t>
      </w:r>
    </w:p>
    <w:p w14:paraId="7F6939F6">
      <w:pPr>
        <w:pStyle w:val="2"/>
        <w:rPr>
          <w:rFonts w:hint="eastAsia"/>
        </w:rPr>
      </w:pPr>
    </w:p>
    <w:p w14:paraId="0A281F08">
      <w:pPr>
        <w:pStyle w:val="2"/>
        <w:rPr>
          <w:rFonts w:hint="eastAsia"/>
        </w:rPr>
      </w:pPr>
      <w:r>
        <w:rPr>
          <w:rFonts w:hint="eastAsia"/>
        </w:rPr>
        <w:t xml:space="preserve">We have carefully reviewed the correspondence from Y. Lin and co-workers, which </w:t>
      </w:r>
    </w:p>
    <w:p w14:paraId="2F56A98D">
      <w:pPr>
        <w:pStyle w:val="2"/>
        <w:rPr>
          <w:rFonts w:hint="eastAsia"/>
        </w:rPr>
      </w:pPr>
      <w:r>
        <w:rPr>
          <w:rFonts w:hint="eastAsia"/>
        </w:rPr>
        <w:t xml:space="preserve">highlights the need for safety analysis related to the optimisation of isoniazid </w:t>
      </w:r>
    </w:p>
    <w:p w14:paraId="45DDE71B">
      <w:pPr>
        <w:pStyle w:val="2"/>
        <w:rPr>
          <w:rFonts w:hint="eastAsia"/>
        </w:rPr>
      </w:pPr>
      <w:r>
        <w:rPr>
          <w:rFonts w:hint="eastAsia"/>
        </w:rPr>
        <w:t xml:space="preserve">dosing, particularly dose increases in specific patient populations, such as </w:t>
      </w:r>
    </w:p>
    <w:p w14:paraId="60E390D5">
      <w:pPr>
        <w:pStyle w:val="2"/>
        <w:rPr>
          <w:rFonts w:hint="eastAsia"/>
        </w:rPr>
      </w:pPr>
      <w:r>
        <w:rPr>
          <w:rFonts w:hint="eastAsia"/>
        </w:rPr>
        <w:t>N-acetyltransferase 2 (NAT2) fast metabolisers and malnourished children.</w:t>
      </w:r>
    </w:p>
    <w:p w14:paraId="3BB785F6">
      <w:pPr>
        <w:pStyle w:val="2"/>
        <w:rPr>
          <w:rFonts w:hint="eastAsia"/>
        </w:rPr>
      </w:pPr>
    </w:p>
    <w:p w14:paraId="389D7D22">
      <w:pPr>
        <w:pStyle w:val="2"/>
        <w:rPr>
          <w:rFonts w:hint="eastAsia"/>
        </w:rPr>
      </w:pPr>
      <w:r>
        <w:rPr>
          <w:rFonts w:hint="eastAsia"/>
        </w:rPr>
        <w:t>DOI: 10.1183/13993003.01322-2026</w:t>
      </w:r>
    </w:p>
    <w:p w14:paraId="421818FA">
      <w:pPr>
        <w:pStyle w:val="2"/>
        <w:rPr>
          <w:rFonts w:hint="eastAsia"/>
        </w:rPr>
      </w:pPr>
      <w:r>
        <w:rPr>
          <w:rFonts w:hint="eastAsia"/>
        </w:rPr>
        <w:t>PMCID: PMC13650445</w:t>
      </w:r>
    </w:p>
    <w:p w14:paraId="28A8F82E">
      <w:pPr>
        <w:pStyle w:val="2"/>
        <w:rPr>
          <w:rFonts w:hint="eastAsia"/>
        </w:rPr>
      </w:pPr>
      <w:r>
        <w:rPr>
          <w:rFonts w:hint="eastAsia"/>
        </w:rPr>
        <w:t>PMID: 42855183</w:t>
      </w:r>
    </w:p>
    <w:p w14:paraId="7972E492">
      <w:pPr>
        <w:pStyle w:val="2"/>
        <w:rPr>
          <w:rFonts w:hint="eastAsia"/>
        </w:rPr>
      </w:pPr>
    </w:p>
    <w:p w14:paraId="7E036660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</w:t>
      </w:r>
      <w:r>
        <w:rPr>
          <w:rFonts w:hint="eastAsia"/>
          <w:b/>
          <w:bCs/>
          <w:color w:val="FF0000"/>
          <w:lang w:val="en-US" w:eastAsia="zh-CN"/>
        </w:rPr>
        <w:t>3</w:t>
      </w:r>
      <w:r>
        <w:rPr>
          <w:rFonts w:hint="eastAsia"/>
          <w:b/>
          <w:bCs/>
          <w:color w:val="FF0000"/>
        </w:rPr>
        <w:t xml:space="preserve">. PLoS Genet. 2026 Oct 9;22(10):e1012331. doi: 10.1371/journal.pgen.1012331. </w:t>
      </w:r>
    </w:p>
    <w:p w14:paraId="4CD0ED54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Online ahead of print.</w:t>
      </w:r>
    </w:p>
    <w:p w14:paraId="1E580C62">
      <w:pPr>
        <w:pStyle w:val="2"/>
        <w:rPr>
          <w:rFonts w:hint="eastAsia"/>
        </w:rPr>
      </w:pPr>
    </w:p>
    <w:p w14:paraId="2B2496D8">
      <w:pPr>
        <w:pStyle w:val="2"/>
        <w:rPr>
          <w:rFonts w:hint="eastAsia"/>
        </w:rPr>
      </w:pPr>
      <w:r>
        <w:rPr>
          <w:rFonts w:hint="eastAsia"/>
        </w:rPr>
        <w:t xml:space="preserve">Combined lactate- and phosphate-dependent cytoplasmic acidification is </w:t>
      </w:r>
    </w:p>
    <w:p w14:paraId="6C4F1858">
      <w:pPr>
        <w:pStyle w:val="2"/>
        <w:rPr>
          <w:rFonts w:hint="eastAsia"/>
        </w:rPr>
      </w:pPr>
      <w:r>
        <w:rPr>
          <w:rFonts w:hint="eastAsia"/>
        </w:rPr>
        <w:t>associated with Mycobacterium tuberculosis growth arrest at acidic pH.</w:t>
      </w:r>
    </w:p>
    <w:p w14:paraId="0BD45CA2">
      <w:pPr>
        <w:pStyle w:val="2"/>
        <w:rPr>
          <w:rFonts w:hint="eastAsia"/>
        </w:rPr>
      </w:pPr>
    </w:p>
    <w:p w14:paraId="38FA5754">
      <w:pPr>
        <w:pStyle w:val="2"/>
        <w:rPr>
          <w:rFonts w:hint="eastAsia"/>
        </w:rPr>
      </w:pPr>
      <w:r>
        <w:rPr>
          <w:rFonts w:hint="eastAsia"/>
        </w:rPr>
        <w:t xml:space="preserve">Kibiloski AP(1), Dechow SJ(1), Abdalla BJ(1), Murdoch HM(1), Tischler AD(2), </w:t>
      </w:r>
    </w:p>
    <w:p w14:paraId="7ACC9C3A">
      <w:pPr>
        <w:pStyle w:val="2"/>
        <w:rPr>
          <w:rFonts w:hint="eastAsia"/>
        </w:rPr>
      </w:pPr>
      <w:r>
        <w:rPr>
          <w:rFonts w:hint="eastAsia"/>
        </w:rPr>
        <w:t>Abramovitch RB(1).</w:t>
      </w:r>
    </w:p>
    <w:p w14:paraId="1B0B3F29">
      <w:pPr>
        <w:pStyle w:val="2"/>
        <w:rPr>
          <w:rFonts w:hint="eastAsia"/>
        </w:rPr>
      </w:pPr>
    </w:p>
    <w:p w14:paraId="42B6A84D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4EA7D07E">
      <w:pPr>
        <w:pStyle w:val="2"/>
        <w:rPr>
          <w:rFonts w:hint="eastAsia"/>
        </w:rPr>
      </w:pPr>
      <w:r>
        <w:rPr>
          <w:rFonts w:hint="eastAsia"/>
        </w:rPr>
        <w:t xml:space="preserve">(1)Department of Microbiology, Genetics, and Immunology, Michigan State </w:t>
      </w:r>
    </w:p>
    <w:p w14:paraId="2ADA2D85">
      <w:pPr>
        <w:pStyle w:val="2"/>
        <w:rPr>
          <w:rFonts w:hint="eastAsia"/>
        </w:rPr>
      </w:pPr>
      <w:r>
        <w:rPr>
          <w:rFonts w:hint="eastAsia"/>
        </w:rPr>
        <w:t>University, East Lansing, Michigan, United States of America.</w:t>
      </w:r>
    </w:p>
    <w:p w14:paraId="72546004">
      <w:pPr>
        <w:pStyle w:val="2"/>
        <w:rPr>
          <w:rFonts w:hint="eastAsia"/>
        </w:rPr>
      </w:pPr>
      <w:r>
        <w:rPr>
          <w:rFonts w:hint="eastAsia"/>
        </w:rPr>
        <w:t xml:space="preserve">(2)Department of Microbiology and Immunology, University of Minnesota, </w:t>
      </w:r>
    </w:p>
    <w:p w14:paraId="000B5EAE">
      <w:pPr>
        <w:pStyle w:val="2"/>
        <w:rPr>
          <w:rFonts w:hint="eastAsia"/>
        </w:rPr>
      </w:pPr>
      <w:r>
        <w:rPr>
          <w:rFonts w:hint="eastAsia"/>
        </w:rPr>
        <w:t>Minneapolis, United States of America.</w:t>
      </w:r>
    </w:p>
    <w:p w14:paraId="663347EB">
      <w:pPr>
        <w:pStyle w:val="2"/>
        <w:rPr>
          <w:rFonts w:hint="eastAsia"/>
        </w:rPr>
      </w:pPr>
    </w:p>
    <w:p w14:paraId="741A7872">
      <w:pPr>
        <w:pStyle w:val="2"/>
        <w:rPr>
          <w:rFonts w:hint="eastAsia"/>
        </w:rPr>
      </w:pPr>
      <w:r>
        <w:rPr>
          <w:rFonts w:hint="eastAsia"/>
        </w:rPr>
        <w:t xml:space="preserve">Mycobacterium tuberculosis (Mtb) cultured in minimal medium at acidic pH arrests </w:t>
      </w:r>
    </w:p>
    <w:p w14:paraId="1209DCEA">
      <w:pPr>
        <w:pStyle w:val="2"/>
        <w:rPr>
          <w:rFonts w:hint="eastAsia"/>
        </w:rPr>
      </w:pPr>
      <w:r>
        <w:rPr>
          <w:rFonts w:hint="eastAsia"/>
        </w:rPr>
        <w:t xml:space="preserve">growth when provided specific single carbon sources, including glycerol, </w:t>
      </w:r>
    </w:p>
    <w:p w14:paraId="6A2D925C">
      <w:pPr>
        <w:pStyle w:val="2"/>
        <w:rPr>
          <w:rFonts w:hint="eastAsia"/>
        </w:rPr>
      </w:pPr>
      <w:r>
        <w:rPr>
          <w:rFonts w:hint="eastAsia"/>
        </w:rPr>
        <w:t xml:space="preserve">propionate, and lactate, a phenomenon we refer to as acid growth arrest. To </w:t>
      </w:r>
    </w:p>
    <w:p w14:paraId="050F2FBE">
      <w:pPr>
        <w:pStyle w:val="2"/>
        <w:rPr>
          <w:rFonts w:hint="eastAsia"/>
        </w:rPr>
      </w:pPr>
      <w:r>
        <w:rPr>
          <w:rFonts w:hint="eastAsia"/>
        </w:rPr>
        <w:t xml:space="preserve">define the mechanisms of acid growth arrest on lactate, we selected transposon </w:t>
      </w:r>
    </w:p>
    <w:p w14:paraId="4181B7CF">
      <w:pPr>
        <w:pStyle w:val="2"/>
        <w:rPr>
          <w:rFonts w:hint="eastAsia"/>
        </w:rPr>
      </w:pPr>
      <w:r>
        <w:rPr>
          <w:rFonts w:hint="eastAsia"/>
        </w:rPr>
        <w:t xml:space="preserve">mutants that grew under these conditions. Five mutants carried insertions in </w:t>
      </w:r>
    </w:p>
    <w:p w14:paraId="1AE37BD4">
      <w:pPr>
        <w:pStyle w:val="2"/>
        <w:rPr>
          <w:rFonts w:hint="eastAsia"/>
        </w:rPr>
      </w:pPr>
      <w:r>
        <w:rPr>
          <w:rFonts w:hint="eastAsia"/>
        </w:rPr>
        <w:t xml:space="preserve">phoT or pstC2, which encode components of a phosphate ABC transporter. Depleting </w:t>
      </w:r>
    </w:p>
    <w:p w14:paraId="6759AEF2">
      <w:pPr>
        <w:pStyle w:val="2"/>
        <w:rPr>
          <w:rFonts w:hint="eastAsia"/>
        </w:rPr>
      </w:pPr>
      <w:r>
        <w:rPr>
          <w:rFonts w:hint="eastAsia"/>
        </w:rPr>
        <w:t xml:space="preserve">phosphate restored Mtb growth in minimal medium supplemented with lactate at </w:t>
      </w:r>
    </w:p>
    <w:p w14:paraId="62747BDF">
      <w:pPr>
        <w:pStyle w:val="2"/>
        <w:rPr>
          <w:rFonts w:hint="eastAsia"/>
        </w:rPr>
      </w:pPr>
      <w:r>
        <w:rPr>
          <w:rFonts w:hint="eastAsia"/>
        </w:rPr>
        <w:t xml:space="preserve">acidic pH, demonstrating that growth arrest on lactate depended on phosphate. </w:t>
      </w:r>
    </w:p>
    <w:p w14:paraId="56AA7C44">
      <w:pPr>
        <w:pStyle w:val="2"/>
        <w:rPr>
          <w:rFonts w:hint="eastAsia"/>
        </w:rPr>
      </w:pPr>
      <w:r>
        <w:rPr>
          <w:rFonts w:hint="eastAsia"/>
        </w:rPr>
        <w:t xml:space="preserve">The combination of lactate and phosphate at acidic pH acidified the cytoplasm to </w:t>
      </w:r>
    </w:p>
    <w:p w14:paraId="6287CA27">
      <w:pPr>
        <w:pStyle w:val="2"/>
        <w:rPr>
          <w:rFonts w:hint="eastAsia"/>
        </w:rPr>
      </w:pPr>
      <w:r>
        <w:rPr>
          <w:rFonts w:hint="eastAsia"/>
        </w:rPr>
        <w:t xml:space="preserve">below pH 6.7, whereas the phoT mutant maintained a cytoplasmic pH &gt; 7.2. Lactate </w:t>
      </w:r>
    </w:p>
    <w:p w14:paraId="560F0ACE">
      <w:pPr>
        <w:pStyle w:val="2"/>
        <w:rPr>
          <w:rFonts w:hint="eastAsia"/>
        </w:rPr>
      </w:pPr>
      <w:r>
        <w:rPr>
          <w:rFonts w:hint="eastAsia"/>
        </w:rPr>
        <w:t xml:space="preserve">slightly decreased membrane potential in a dose-dependent manner in wild-type </w:t>
      </w:r>
    </w:p>
    <w:p w14:paraId="7F0E1A85">
      <w:pPr>
        <w:pStyle w:val="2"/>
        <w:rPr>
          <w:rFonts w:hint="eastAsia"/>
        </w:rPr>
      </w:pPr>
      <w:r>
        <w:rPr>
          <w:rFonts w:hint="eastAsia"/>
        </w:rPr>
        <w:t xml:space="preserve">Mtb, whereas the phoT mutant maintained a higher membrane potential. </w:t>
      </w:r>
    </w:p>
    <w:p w14:paraId="563D36AE">
      <w:pPr>
        <w:pStyle w:val="2"/>
        <w:rPr>
          <w:rFonts w:hint="eastAsia"/>
        </w:rPr>
      </w:pPr>
      <w:r>
        <w:rPr>
          <w:rFonts w:hint="eastAsia"/>
        </w:rPr>
        <w:t xml:space="preserve">Transcriptional profiling identified a lactate-associated PMF stress signature, </w:t>
      </w:r>
    </w:p>
    <w:p w14:paraId="1FC4E320">
      <w:pPr>
        <w:pStyle w:val="2"/>
        <w:rPr>
          <w:rFonts w:hint="eastAsia"/>
        </w:rPr>
      </w:pPr>
      <w:r>
        <w:rPr>
          <w:rFonts w:hint="eastAsia"/>
        </w:rPr>
        <w:t xml:space="preserve">including upregulation of electron transport chain genes. Together, these </w:t>
      </w:r>
    </w:p>
    <w:p w14:paraId="37989719">
      <w:pPr>
        <w:pStyle w:val="2"/>
        <w:rPr>
          <w:rFonts w:hint="eastAsia"/>
        </w:rPr>
      </w:pPr>
      <w:r>
        <w:rPr>
          <w:rFonts w:hint="eastAsia"/>
        </w:rPr>
        <w:t xml:space="preserve">findings associate lactate- and phosphate-dependent cytoplasmic acidification </w:t>
      </w:r>
    </w:p>
    <w:p w14:paraId="32C525F8">
      <w:pPr>
        <w:pStyle w:val="2"/>
        <w:rPr>
          <w:rFonts w:hint="eastAsia"/>
        </w:rPr>
      </w:pPr>
      <w:r>
        <w:rPr>
          <w:rFonts w:hint="eastAsia"/>
        </w:rPr>
        <w:t xml:space="preserve">with proton motive force (PMF) stress and acid growth arrest. The phoT mutant </w:t>
      </w:r>
    </w:p>
    <w:p w14:paraId="4B33FADA">
      <w:pPr>
        <w:pStyle w:val="2"/>
        <w:rPr>
          <w:rFonts w:hint="eastAsia"/>
        </w:rPr>
      </w:pPr>
      <w:r>
        <w:rPr>
          <w:rFonts w:hint="eastAsia"/>
        </w:rPr>
        <w:t xml:space="preserve">grown in lactate at acidic pH upregulated the senX3/regX3 regulon. Using a regX3 </w:t>
      </w:r>
    </w:p>
    <w:p w14:paraId="185DA868">
      <w:pPr>
        <w:pStyle w:val="2"/>
        <w:rPr>
          <w:rFonts w:hint="eastAsia"/>
        </w:rPr>
      </w:pPr>
      <w:r>
        <w:rPr>
          <w:rFonts w:hint="eastAsia"/>
        </w:rPr>
        <w:t xml:space="preserve">mutant, we found that growth on lactate under low-phosphate conditions required </w:t>
      </w:r>
    </w:p>
    <w:p w14:paraId="7CCFAC94">
      <w:pPr>
        <w:pStyle w:val="2"/>
        <w:rPr>
          <w:rFonts w:hint="eastAsia"/>
        </w:rPr>
      </w:pPr>
      <w:r>
        <w:rPr>
          <w:rFonts w:hint="eastAsia"/>
        </w:rPr>
        <w:t xml:space="preserve">regX3. We propose a model in which (1) acidic pH, lactate, and phosphate </w:t>
      </w:r>
    </w:p>
    <w:p w14:paraId="6A0BB009">
      <w:pPr>
        <w:pStyle w:val="2"/>
        <w:rPr>
          <w:rFonts w:hint="eastAsia"/>
        </w:rPr>
      </w:pPr>
      <w:r>
        <w:rPr>
          <w:rFonts w:hint="eastAsia"/>
        </w:rPr>
        <w:t xml:space="preserve">together modulate cytoplasmic pH homeostasis and are associated with PMF stress </w:t>
      </w:r>
    </w:p>
    <w:p w14:paraId="5A93DFB8">
      <w:pPr>
        <w:pStyle w:val="2"/>
        <w:rPr>
          <w:rFonts w:hint="eastAsia"/>
        </w:rPr>
      </w:pPr>
      <w:r>
        <w:rPr>
          <w:rFonts w:hint="eastAsia"/>
        </w:rPr>
        <w:t xml:space="preserve">and acid growth arrest; and (2) low phosphate induces SenX3-RegX3 activity, </w:t>
      </w:r>
    </w:p>
    <w:p w14:paraId="5A3CE695">
      <w:pPr>
        <w:pStyle w:val="2"/>
        <w:rPr>
          <w:rFonts w:hint="eastAsia"/>
        </w:rPr>
      </w:pPr>
      <w:r>
        <w:rPr>
          <w:rFonts w:hint="eastAsia"/>
        </w:rPr>
        <w:t xml:space="preserve">which may alter cell-envelope physiology through ESX-5- and PE/PPE-dependent </w:t>
      </w:r>
    </w:p>
    <w:p w14:paraId="5F475189">
      <w:pPr>
        <w:pStyle w:val="2"/>
        <w:rPr>
          <w:rFonts w:hint="eastAsia"/>
        </w:rPr>
      </w:pPr>
      <w:r>
        <w:rPr>
          <w:rFonts w:hint="eastAsia"/>
        </w:rPr>
        <w:t>pathways and promote growth on lactate at acidic pH.</w:t>
      </w:r>
    </w:p>
    <w:p w14:paraId="738241C4">
      <w:pPr>
        <w:pStyle w:val="2"/>
        <w:rPr>
          <w:rFonts w:hint="eastAsia"/>
        </w:rPr>
      </w:pPr>
    </w:p>
    <w:p w14:paraId="69C31733">
      <w:pPr>
        <w:pStyle w:val="2"/>
        <w:rPr>
          <w:rFonts w:hint="eastAsia"/>
        </w:rPr>
      </w:pPr>
      <w:r>
        <w:rPr>
          <w:rFonts w:hint="eastAsia"/>
        </w:rPr>
        <w:t xml:space="preserve">Copyright: © 2026 Kibiloski et al. This is an open access article distributed </w:t>
      </w:r>
    </w:p>
    <w:p w14:paraId="1CCD8F16">
      <w:pPr>
        <w:pStyle w:val="2"/>
        <w:rPr>
          <w:rFonts w:hint="eastAsia"/>
        </w:rPr>
      </w:pPr>
      <w:r>
        <w:rPr>
          <w:rFonts w:hint="eastAsia"/>
        </w:rPr>
        <w:t xml:space="preserve">under the terms of the Creative Commons Attribution License, which permits </w:t>
      </w:r>
    </w:p>
    <w:p w14:paraId="3D47C69C">
      <w:pPr>
        <w:pStyle w:val="2"/>
        <w:rPr>
          <w:rFonts w:hint="eastAsia"/>
        </w:rPr>
      </w:pPr>
      <w:r>
        <w:rPr>
          <w:rFonts w:hint="eastAsia"/>
        </w:rPr>
        <w:t xml:space="preserve">unrestricted use, distribution, and reproduction in any medium, provided the </w:t>
      </w:r>
    </w:p>
    <w:p w14:paraId="6406BC04">
      <w:pPr>
        <w:pStyle w:val="2"/>
        <w:rPr>
          <w:rFonts w:hint="eastAsia"/>
        </w:rPr>
      </w:pPr>
      <w:r>
        <w:rPr>
          <w:rFonts w:hint="eastAsia"/>
        </w:rPr>
        <w:t>original author and source are credited.</w:t>
      </w:r>
    </w:p>
    <w:p w14:paraId="7E6F92D8">
      <w:pPr>
        <w:pStyle w:val="2"/>
        <w:rPr>
          <w:rFonts w:hint="eastAsia"/>
        </w:rPr>
      </w:pPr>
    </w:p>
    <w:p w14:paraId="6EEE128D">
      <w:pPr>
        <w:pStyle w:val="2"/>
        <w:rPr>
          <w:rFonts w:hint="eastAsia"/>
        </w:rPr>
      </w:pPr>
      <w:r>
        <w:rPr>
          <w:rFonts w:hint="eastAsia"/>
        </w:rPr>
        <w:t>DOI: 10.1371/journal.pgen.1012331</w:t>
      </w:r>
    </w:p>
    <w:p w14:paraId="3CF1E17E">
      <w:pPr>
        <w:pStyle w:val="2"/>
        <w:rPr>
          <w:rFonts w:hint="eastAsia"/>
        </w:rPr>
      </w:pPr>
      <w:r>
        <w:rPr>
          <w:rFonts w:hint="eastAsia"/>
        </w:rPr>
        <w:t>PMID: 42853884</w:t>
      </w:r>
    </w:p>
    <w:p w14:paraId="03958DC4">
      <w:pPr>
        <w:pStyle w:val="2"/>
        <w:rPr>
          <w:rFonts w:hint="eastAsia"/>
        </w:rPr>
      </w:pPr>
    </w:p>
    <w:p w14:paraId="5393309B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</w:t>
      </w:r>
      <w:r>
        <w:rPr>
          <w:rFonts w:hint="eastAsia"/>
          <w:b/>
          <w:bCs/>
          <w:color w:val="FF0000"/>
          <w:lang w:val="en-US" w:eastAsia="zh-CN"/>
        </w:rPr>
        <w:t>4</w:t>
      </w:r>
      <w:r>
        <w:rPr>
          <w:rFonts w:hint="eastAsia"/>
          <w:b/>
          <w:bCs/>
          <w:color w:val="FF0000"/>
        </w:rPr>
        <w:t xml:space="preserve">. PLOS Glob Public Health. 2026 Oct 9;6(10):e0007269. doi: </w:t>
      </w:r>
    </w:p>
    <w:p w14:paraId="7B135B13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10.1371/journal.pgph.0007269. eCollection 2026.</w:t>
      </w:r>
    </w:p>
    <w:p w14:paraId="4F5A8D16">
      <w:pPr>
        <w:pStyle w:val="2"/>
        <w:rPr>
          <w:rFonts w:hint="eastAsia"/>
        </w:rPr>
      </w:pPr>
    </w:p>
    <w:p w14:paraId="33BAE8FB">
      <w:pPr>
        <w:pStyle w:val="2"/>
        <w:rPr>
          <w:rFonts w:hint="eastAsia"/>
        </w:rPr>
      </w:pPr>
      <w:r>
        <w:rPr>
          <w:rFonts w:hint="eastAsia"/>
        </w:rPr>
        <w:t xml:space="preserve">Heterogeneity in Mycobacterium tuberculosis immunoreactivity in young children </w:t>
      </w:r>
    </w:p>
    <w:p w14:paraId="302B0E51">
      <w:pPr>
        <w:pStyle w:val="2"/>
        <w:rPr>
          <w:rFonts w:hint="eastAsia"/>
        </w:rPr>
      </w:pPr>
      <w:r>
        <w:rPr>
          <w:rFonts w:hint="eastAsia"/>
        </w:rPr>
        <w:t>in Blantyre, Malawi: A community-based survey.</w:t>
      </w:r>
    </w:p>
    <w:p w14:paraId="6BA020BC">
      <w:pPr>
        <w:pStyle w:val="2"/>
        <w:rPr>
          <w:rFonts w:hint="eastAsia"/>
        </w:rPr>
      </w:pPr>
    </w:p>
    <w:p w14:paraId="61D78A06">
      <w:pPr>
        <w:pStyle w:val="2"/>
        <w:rPr>
          <w:rFonts w:hint="eastAsia"/>
        </w:rPr>
      </w:pPr>
      <w:r>
        <w:rPr>
          <w:rFonts w:hint="eastAsia"/>
        </w:rPr>
        <w:t xml:space="preserve">Rickman HM(1)(2), Phiri MD(2)(3), Mbale H(2)(4), Feasey HRA(5), Nliwasa M(4), </w:t>
      </w:r>
    </w:p>
    <w:p w14:paraId="785C91E1">
      <w:pPr>
        <w:pStyle w:val="2"/>
        <w:rPr>
          <w:rFonts w:hint="eastAsia"/>
        </w:rPr>
      </w:pPr>
      <w:r>
        <w:rPr>
          <w:rFonts w:hint="eastAsia"/>
        </w:rPr>
        <w:t xml:space="preserve">Chagaluka G(6), Seddon JA(7)(8), Mwandumba HC(2)(3), Horton KC(9), Henrion </w:t>
      </w:r>
    </w:p>
    <w:p w14:paraId="50648B48">
      <w:pPr>
        <w:pStyle w:val="2"/>
        <w:rPr>
          <w:rFonts w:hint="eastAsia"/>
        </w:rPr>
      </w:pPr>
      <w:r>
        <w:rPr>
          <w:rFonts w:hint="eastAsia"/>
        </w:rPr>
        <w:t xml:space="preserve">MYR(2)(3), Mwenyenkulu T(10), Mbendera KN(10), Nightingale ES(9), Corbett </w:t>
      </w:r>
    </w:p>
    <w:p w14:paraId="14DAF063">
      <w:pPr>
        <w:pStyle w:val="2"/>
        <w:rPr>
          <w:rFonts w:hint="eastAsia"/>
        </w:rPr>
      </w:pPr>
      <w:r>
        <w:rPr>
          <w:rFonts w:hint="eastAsia"/>
        </w:rPr>
        <w:t>EL(1)(2), MacPherson P(11).</w:t>
      </w:r>
    </w:p>
    <w:p w14:paraId="77CEA3F4">
      <w:pPr>
        <w:pStyle w:val="2"/>
        <w:rPr>
          <w:rFonts w:hint="eastAsia"/>
        </w:rPr>
      </w:pPr>
    </w:p>
    <w:p w14:paraId="3775F3BA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13379F32">
      <w:pPr>
        <w:pStyle w:val="2"/>
        <w:rPr>
          <w:rFonts w:hint="eastAsia"/>
        </w:rPr>
      </w:pPr>
      <w:r>
        <w:rPr>
          <w:rFonts w:hint="eastAsia"/>
        </w:rPr>
        <w:t xml:space="preserve">(1)Clinical Research Department, London School of Hygiene &amp; Tropical Medicine, </w:t>
      </w:r>
    </w:p>
    <w:p w14:paraId="38AD0317">
      <w:pPr>
        <w:pStyle w:val="2"/>
        <w:rPr>
          <w:rFonts w:hint="eastAsia"/>
        </w:rPr>
      </w:pPr>
      <w:r>
        <w:rPr>
          <w:rFonts w:hint="eastAsia"/>
        </w:rPr>
        <w:t>London, United Kingdom.</w:t>
      </w:r>
    </w:p>
    <w:p w14:paraId="7DDD2F51">
      <w:pPr>
        <w:pStyle w:val="2"/>
        <w:rPr>
          <w:rFonts w:hint="eastAsia"/>
        </w:rPr>
      </w:pPr>
      <w:r>
        <w:rPr>
          <w:rFonts w:hint="eastAsia"/>
        </w:rPr>
        <w:t>(2)Malawi Liverpool Wellcome Research Programme, Blantyre, Malawi.</w:t>
      </w:r>
    </w:p>
    <w:p w14:paraId="3842970F">
      <w:pPr>
        <w:pStyle w:val="2"/>
        <w:rPr>
          <w:rFonts w:hint="eastAsia"/>
        </w:rPr>
      </w:pPr>
      <w:r>
        <w:rPr>
          <w:rFonts w:hint="eastAsia"/>
        </w:rPr>
        <w:t xml:space="preserve">(3)Department of Clinical Sciences, Liverpool School of Tropical Medicine, </w:t>
      </w:r>
    </w:p>
    <w:p w14:paraId="3CD1FC33">
      <w:pPr>
        <w:pStyle w:val="2"/>
        <w:rPr>
          <w:rFonts w:hint="eastAsia"/>
        </w:rPr>
      </w:pPr>
      <w:r>
        <w:rPr>
          <w:rFonts w:hint="eastAsia"/>
        </w:rPr>
        <w:t>Liverpool, United Kingdom.</w:t>
      </w:r>
    </w:p>
    <w:p w14:paraId="3647EE3D">
      <w:pPr>
        <w:pStyle w:val="2"/>
        <w:rPr>
          <w:rFonts w:hint="eastAsia"/>
        </w:rPr>
      </w:pPr>
      <w:r>
        <w:rPr>
          <w:rFonts w:hint="eastAsia"/>
        </w:rPr>
        <w:t xml:space="preserve">(4)Helse Nord TB Initiative, Kamuzu University of Health Sciences, Blantyre, </w:t>
      </w:r>
    </w:p>
    <w:p w14:paraId="15EEA7BC">
      <w:pPr>
        <w:pStyle w:val="2"/>
        <w:rPr>
          <w:rFonts w:hint="eastAsia"/>
        </w:rPr>
      </w:pPr>
      <w:r>
        <w:rPr>
          <w:rFonts w:hint="eastAsia"/>
        </w:rPr>
        <w:t>Malawi.</w:t>
      </w:r>
    </w:p>
    <w:p w14:paraId="1562B5A1">
      <w:pPr>
        <w:pStyle w:val="2"/>
        <w:rPr>
          <w:rFonts w:hint="eastAsia"/>
        </w:rPr>
      </w:pPr>
      <w:r>
        <w:rPr>
          <w:rFonts w:hint="eastAsia"/>
        </w:rPr>
        <w:t>(5)School of Medicine, University of St Andrews, St Andrews, United Kingdom.</w:t>
      </w:r>
    </w:p>
    <w:p w14:paraId="427844D7">
      <w:pPr>
        <w:pStyle w:val="2"/>
        <w:rPr>
          <w:rFonts w:hint="eastAsia"/>
        </w:rPr>
      </w:pPr>
      <w:r>
        <w:rPr>
          <w:rFonts w:hint="eastAsia"/>
        </w:rPr>
        <w:t xml:space="preserve">(6)Department of Paediatrics, Queen Elizabeth Central Hospital, Blantyre, </w:t>
      </w:r>
    </w:p>
    <w:p w14:paraId="2EB34258">
      <w:pPr>
        <w:pStyle w:val="2"/>
        <w:rPr>
          <w:rFonts w:hint="eastAsia"/>
        </w:rPr>
      </w:pPr>
      <w:r>
        <w:rPr>
          <w:rFonts w:hint="eastAsia"/>
        </w:rPr>
        <w:t>Malawi.</w:t>
      </w:r>
    </w:p>
    <w:p w14:paraId="2B750F71">
      <w:pPr>
        <w:pStyle w:val="2"/>
        <w:rPr>
          <w:rFonts w:hint="eastAsia"/>
        </w:rPr>
      </w:pPr>
      <w:r>
        <w:rPr>
          <w:rFonts w:hint="eastAsia"/>
        </w:rPr>
        <w:t xml:space="preserve">(7)Department of Infectious Disease, Imperial College London, London, United </w:t>
      </w:r>
    </w:p>
    <w:p w14:paraId="6A28AE9B">
      <w:pPr>
        <w:pStyle w:val="2"/>
        <w:rPr>
          <w:rFonts w:hint="eastAsia"/>
        </w:rPr>
      </w:pPr>
      <w:r>
        <w:rPr>
          <w:rFonts w:hint="eastAsia"/>
        </w:rPr>
        <w:t>Kingdom.</w:t>
      </w:r>
    </w:p>
    <w:p w14:paraId="59689938">
      <w:pPr>
        <w:pStyle w:val="2"/>
        <w:rPr>
          <w:rFonts w:hint="eastAsia"/>
        </w:rPr>
      </w:pPr>
      <w:r>
        <w:rPr>
          <w:rFonts w:hint="eastAsia"/>
        </w:rPr>
        <w:t xml:space="preserve">(8)Desmond Tutu TB Centre, Department of Paediatrics and Child Health, </w:t>
      </w:r>
    </w:p>
    <w:p w14:paraId="6E351B21">
      <w:pPr>
        <w:pStyle w:val="2"/>
        <w:rPr>
          <w:rFonts w:hint="eastAsia"/>
        </w:rPr>
      </w:pPr>
      <w:r>
        <w:rPr>
          <w:rFonts w:hint="eastAsia"/>
        </w:rPr>
        <w:t>Stellenbosch University, Stellenbosch, South Africa.</w:t>
      </w:r>
    </w:p>
    <w:p w14:paraId="5CD6A6F8">
      <w:pPr>
        <w:pStyle w:val="2"/>
        <w:rPr>
          <w:rFonts w:hint="eastAsia"/>
        </w:rPr>
      </w:pPr>
      <w:r>
        <w:rPr>
          <w:rFonts w:hint="eastAsia"/>
        </w:rPr>
        <w:t xml:space="preserve">(9)Department of Infectious Disease Epidemiology, London School of Hygiene &amp; </w:t>
      </w:r>
    </w:p>
    <w:p w14:paraId="01A172C8">
      <w:pPr>
        <w:pStyle w:val="2"/>
        <w:rPr>
          <w:rFonts w:hint="eastAsia"/>
        </w:rPr>
      </w:pPr>
      <w:r>
        <w:rPr>
          <w:rFonts w:hint="eastAsia"/>
        </w:rPr>
        <w:t>Tropical Medicine, London, United Kingdom.</w:t>
      </w:r>
    </w:p>
    <w:p w14:paraId="3AC4E7A6">
      <w:pPr>
        <w:pStyle w:val="2"/>
        <w:rPr>
          <w:rFonts w:hint="eastAsia"/>
        </w:rPr>
      </w:pPr>
      <w:r>
        <w:rPr>
          <w:rFonts w:hint="eastAsia"/>
        </w:rPr>
        <w:t xml:space="preserve">(10)Malawi National Tuberculosis and Leprosy Elimination Programme, Lilongwe, </w:t>
      </w:r>
    </w:p>
    <w:p w14:paraId="7D77EDE4">
      <w:pPr>
        <w:pStyle w:val="2"/>
        <w:rPr>
          <w:rFonts w:hint="eastAsia"/>
        </w:rPr>
      </w:pPr>
      <w:r>
        <w:rPr>
          <w:rFonts w:hint="eastAsia"/>
        </w:rPr>
        <w:t>Malawi.</w:t>
      </w:r>
    </w:p>
    <w:p w14:paraId="64E98967">
      <w:pPr>
        <w:pStyle w:val="2"/>
        <w:rPr>
          <w:rFonts w:hint="eastAsia"/>
        </w:rPr>
      </w:pPr>
      <w:r>
        <w:rPr>
          <w:rFonts w:hint="eastAsia"/>
        </w:rPr>
        <w:t xml:space="preserve">(11)School of Health and Wellbeing, University of Glasgow, Glasgow, United </w:t>
      </w:r>
    </w:p>
    <w:p w14:paraId="2EE08C11">
      <w:pPr>
        <w:pStyle w:val="2"/>
        <w:rPr>
          <w:rFonts w:hint="eastAsia"/>
        </w:rPr>
      </w:pPr>
      <w:r>
        <w:rPr>
          <w:rFonts w:hint="eastAsia"/>
        </w:rPr>
        <w:t>Kingdom.</w:t>
      </w:r>
    </w:p>
    <w:p w14:paraId="06D3DD9A">
      <w:pPr>
        <w:pStyle w:val="2"/>
        <w:rPr>
          <w:rFonts w:hint="eastAsia"/>
        </w:rPr>
      </w:pPr>
    </w:p>
    <w:p w14:paraId="2BE758E0">
      <w:pPr>
        <w:pStyle w:val="2"/>
        <w:rPr>
          <w:rFonts w:hint="eastAsia"/>
        </w:rPr>
      </w:pPr>
      <w:r>
        <w:rPr>
          <w:rFonts w:hint="eastAsia"/>
        </w:rPr>
        <w:t xml:space="preserve">As tuberculosis (TB) incidence declines, transmission becomes increasingly </w:t>
      </w:r>
    </w:p>
    <w:p w14:paraId="341A14D3">
      <w:pPr>
        <w:pStyle w:val="2"/>
        <w:rPr>
          <w:rFonts w:hint="eastAsia"/>
        </w:rPr>
      </w:pPr>
      <w:r>
        <w:rPr>
          <w:rFonts w:hint="eastAsia"/>
        </w:rPr>
        <w:t xml:space="preserve">concentrated in vulnerable populations and neighbourhoods. There is an urgent </w:t>
      </w:r>
    </w:p>
    <w:p w14:paraId="04E7AEA4">
      <w:pPr>
        <w:pStyle w:val="2"/>
        <w:rPr>
          <w:rFonts w:hint="eastAsia"/>
        </w:rPr>
      </w:pPr>
      <w:r>
        <w:rPr>
          <w:rFonts w:hint="eastAsia"/>
        </w:rPr>
        <w:t xml:space="preserve">need for affordable surveillance strategies to monitor trends, identify </w:t>
      </w:r>
    </w:p>
    <w:p w14:paraId="1441BEAA">
      <w:pPr>
        <w:pStyle w:val="2"/>
        <w:rPr>
          <w:rFonts w:hint="eastAsia"/>
        </w:rPr>
      </w:pPr>
      <w:r>
        <w:rPr>
          <w:rFonts w:hint="eastAsia"/>
        </w:rPr>
        <w:t xml:space="preserve">high-risk groups and target interventions. TB disease prevalence surveys are no </w:t>
      </w:r>
    </w:p>
    <w:p w14:paraId="66C0B514">
      <w:pPr>
        <w:pStyle w:val="2"/>
        <w:rPr>
          <w:rFonts w:hint="eastAsia"/>
        </w:rPr>
      </w:pPr>
      <w:r>
        <w:rPr>
          <w:rFonts w:hint="eastAsia"/>
        </w:rPr>
        <w:t xml:space="preserve">longer cost-effective in monitoring epidemiological trends as countries target </w:t>
      </w:r>
    </w:p>
    <w:p w14:paraId="5660C754">
      <w:pPr>
        <w:pStyle w:val="2"/>
        <w:rPr>
          <w:rFonts w:hint="eastAsia"/>
        </w:rPr>
      </w:pPr>
      <w:r>
        <w:rPr>
          <w:rFonts w:hint="eastAsia"/>
        </w:rPr>
        <w:t xml:space="preserve">TB elimination, while passive surveillance methodologies such as </w:t>
      </w:r>
    </w:p>
    <w:p w14:paraId="34C2B10E">
      <w:pPr>
        <w:pStyle w:val="2"/>
        <w:rPr>
          <w:rFonts w:hint="eastAsia"/>
        </w:rPr>
      </w:pPr>
      <w:r>
        <w:rPr>
          <w:rFonts w:hint="eastAsia"/>
        </w:rPr>
        <w:t xml:space="preserve">case-notification rates (CNRs) are biased by healthcare access disparities. </w:t>
      </w:r>
    </w:p>
    <w:p w14:paraId="320C454E">
      <w:pPr>
        <w:pStyle w:val="2"/>
        <w:rPr>
          <w:rFonts w:hint="eastAsia"/>
        </w:rPr>
      </w:pPr>
      <w:r>
        <w:rPr>
          <w:rFonts w:hint="eastAsia"/>
        </w:rPr>
        <w:t xml:space="preserve">Mycobacterium tuberculosis (Mtb) immunoreactivity surveys indirectly measure </w:t>
      </w:r>
    </w:p>
    <w:p w14:paraId="29E88451">
      <w:pPr>
        <w:pStyle w:val="2"/>
        <w:rPr>
          <w:rFonts w:hint="eastAsia"/>
        </w:rPr>
      </w:pPr>
      <w:r>
        <w:rPr>
          <w:rFonts w:hint="eastAsia"/>
        </w:rPr>
        <w:t xml:space="preserve">transmission and therefore undiagnosed infectious TB, and may provide valuable </w:t>
      </w:r>
    </w:p>
    <w:p w14:paraId="014E9C29">
      <w:pPr>
        <w:pStyle w:val="2"/>
        <w:rPr>
          <w:rFonts w:hint="eastAsia"/>
        </w:rPr>
      </w:pPr>
      <w:r>
        <w:rPr>
          <w:rFonts w:hint="eastAsia"/>
        </w:rPr>
        <w:t xml:space="preserve">information to TB programmes globally. We conducted a pragmatic hybrid clinic- </w:t>
      </w:r>
    </w:p>
    <w:p w14:paraId="00D0FA53">
      <w:pPr>
        <w:pStyle w:val="2"/>
        <w:rPr>
          <w:rFonts w:hint="eastAsia"/>
        </w:rPr>
      </w:pPr>
      <w:r>
        <w:rPr>
          <w:rFonts w:hint="eastAsia"/>
        </w:rPr>
        <w:t xml:space="preserve">and household-based cross-sectional interferon-gamma release assay (IGRA) survey </w:t>
      </w:r>
    </w:p>
    <w:p w14:paraId="05455825">
      <w:pPr>
        <w:pStyle w:val="2"/>
        <w:rPr>
          <w:rFonts w:hint="eastAsia"/>
        </w:rPr>
      </w:pPr>
      <w:r>
        <w:rPr>
          <w:rFonts w:hint="eastAsia"/>
        </w:rPr>
        <w:t xml:space="preserve">in healthy children aged 1-4 years in 33 high-burden neighbourhoods Blantyre, </w:t>
      </w:r>
    </w:p>
    <w:p w14:paraId="0712D644">
      <w:pPr>
        <w:pStyle w:val="2"/>
        <w:rPr>
          <w:rFonts w:hint="eastAsia"/>
        </w:rPr>
      </w:pPr>
      <w:r>
        <w:rPr>
          <w:rFonts w:hint="eastAsia"/>
        </w:rPr>
        <w:t xml:space="preserve">Malawi. Participants were recruited using novel convenience sampling in health </w:t>
      </w:r>
    </w:p>
    <w:p w14:paraId="0EAC61C1">
      <w:pPr>
        <w:pStyle w:val="2"/>
        <w:rPr>
          <w:rFonts w:hint="eastAsia"/>
        </w:rPr>
      </w:pPr>
      <w:r>
        <w:rPr>
          <w:rFonts w:hint="eastAsia"/>
        </w:rPr>
        <w:t xml:space="preserve">facilities, alongside random household sampling guided by satellite imagery, and </w:t>
      </w:r>
    </w:p>
    <w:p w14:paraId="2E936A79">
      <w:pPr>
        <w:pStyle w:val="2"/>
        <w:rPr>
          <w:rFonts w:hint="eastAsia"/>
        </w:rPr>
      </w:pPr>
      <w:r>
        <w:rPr>
          <w:rFonts w:hint="eastAsia"/>
        </w:rPr>
        <w:t xml:space="preserve">tested for Mtb immunoreactivity using QFT-Plus IGRA. We constructed hierarchical </w:t>
      </w:r>
    </w:p>
    <w:p w14:paraId="7D52536B">
      <w:pPr>
        <w:pStyle w:val="2"/>
        <w:rPr>
          <w:rFonts w:hint="eastAsia"/>
        </w:rPr>
      </w:pPr>
      <w:r>
        <w:rPr>
          <w:rFonts w:hint="eastAsia"/>
        </w:rPr>
        <w:t xml:space="preserve">Bayesian logistic regression models for IGRA positivity, with </w:t>
      </w:r>
    </w:p>
    <w:p w14:paraId="112C2154">
      <w:pPr>
        <w:pStyle w:val="2"/>
        <w:rPr>
          <w:rFonts w:hint="eastAsia"/>
        </w:rPr>
      </w:pPr>
      <w:r>
        <w:rPr>
          <w:rFonts w:hint="eastAsia"/>
        </w:rPr>
        <w:t xml:space="preserve">neighbourhood-level random effects. Of 1,545 participants, 102 (6.6%) had a </w:t>
      </w:r>
    </w:p>
    <w:p w14:paraId="2228C986">
      <w:pPr>
        <w:pStyle w:val="2"/>
        <w:rPr>
          <w:rFonts w:hint="eastAsia"/>
        </w:rPr>
      </w:pPr>
      <w:r>
        <w:rPr>
          <w:rFonts w:hint="eastAsia"/>
        </w:rPr>
        <w:t xml:space="preserve">positive IGRA: an annual risk of Mtb infection (ARTI) of 2.7% (95% CrI </w:t>
      </w:r>
    </w:p>
    <w:p w14:paraId="6BB20983">
      <w:pPr>
        <w:pStyle w:val="2"/>
        <w:rPr>
          <w:rFonts w:hint="eastAsia"/>
        </w:rPr>
      </w:pPr>
      <w:r>
        <w:rPr>
          <w:rFonts w:hint="eastAsia"/>
        </w:rPr>
        <w:t xml:space="preserve">2.2-3.2%). Immunoreactivity was higher in the poorest third of households (8.7% </w:t>
      </w:r>
    </w:p>
    <w:p w14:paraId="50E2BFDC">
      <w:pPr>
        <w:pStyle w:val="2"/>
        <w:rPr>
          <w:rFonts w:hint="eastAsia"/>
        </w:rPr>
      </w:pPr>
      <w:r>
        <w:rPr>
          <w:rFonts w:hint="eastAsia"/>
        </w:rPr>
        <w:t xml:space="preserve">vs 4.9%; adjusted odds ratio: 1.88, 95% CrI 1.08-3.01) compared to the richest, </w:t>
      </w:r>
    </w:p>
    <w:p w14:paraId="0DDA2F3E">
      <w:pPr>
        <w:pStyle w:val="2"/>
        <w:rPr>
          <w:rFonts w:hint="eastAsia"/>
        </w:rPr>
      </w:pPr>
      <w:r>
        <w:rPr>
          <w:rFonts w:hint="eastAsia"/>
        </w:rPr>
        <w:t xml:space="preserve">but was not associated with HIV exposure, malnutrition or reported household TB </w:t>
      </w:r>
    </w:p>
    <w:p w14:paraId="1903EED4">
      <w:pPr>
        <w:pStyle w:val="2"/>
        <w:rPr>
          <w:rFonts w:hint="eastAsia"/>
        </w:rPr>
      </w:pPr>
      <w:r>
        <w:rPr>
          <w:rFonts w:hint="eastAsia"/>
        </w:rPr>
        <w:t xml:space="preserve">exposure. There was substantial between-neighbourhood heterogeneity (ARTI range </w:t>
      </w:r>
    </w:p>
    <w:p w14:paraId="3283BDA4">
      <w:pPr>
        <w:pStyle w:val="2"/>
        <w:rPr>
          <w:rFonts w:hint="eastAsia"/>
        </w:rPr>
      </w:pPr>
      <w:r>
        <w:rPr>
          <w:rFonts w:hint="eastAsia"/>
        </w:rPr>
        <w:t xml:space="preserve">1.1-4.1%). There was no association between neighbourhood-level TB case </w:t>
      </w:r>
    </w:p>
    <w:p w14:paraId="46E14010">
      <w:pPr>
        <w:pStyle w:val="2"/>
        <w:rPr>
          <w:rFonts w:hint="eastAsia"/>
        </w:rPr>
      </w:pPr>
      <w:r>
        <w:rPr>
          <w:rFonts w:hint="eastAsia"/>
        </w:rPr>
        <w:t xml:space="preserve">notifications and ARTI. Measuring Mtb immunoreactivity in young children, using </w:t>
      </w:r>
    </w:p>
    <w:p w14:paraId="75159EFD">
      <w:pPr>
        <w:pStyle w:val="2"/>
        <w:rPr>
          <w:rFonts w:hint="eastAsia"/>
        </w:rPr>
      </w:pPr>
      <w:r>
        <w:rPr>
          <w:rFonts w:hint="eastAsia"/>
        </w:rPr>
        <w:t xml:space="preserve">innovative recruitment strategies, revealed a high burden of immunoreactivity </w:t>
      </w:r>
    </w:p>
    <w:p w14:paraId="422B439C">
      <w:pPr>
        <w:pStyle w:val="2"/>
        <w:rPr>
          <w:rFonts w:hint="eastAsia"/>
        </w:rPr>
      </w:pPr>
      <w:r>
        <w:rPr>
          <w:rFonts w:hint="eastAsia"/>
        </w:rPr>
        <w:t xml:space="preserve">suggestive of recent TB transmission. Children in the poorest households were at </w:t>
      </w:r>
    </w:p>
    <w:p w14:paraId="0885AEF1">
      <w:pPr>
        <w:pStyle w:val="2"/>
        <w:rPr>
          <w:rFonts w:hint="eastAsia"/>
        </w:rPr>
      </w:pPr>
      <w:r>
        <w:rPr>
          <w:rFonts w:hint="eastAsia"/>
        </w:rPr>
        <w:t xml:space="preserve">highest risk, highlighting the importance of social and economic inequity in </w:t>
      </w:r>
    </w:p>
    <w:p w14:paraId="6D59E355">
      <w:pPr>
        <w:pStyle w:val="2"/>
        <w:rPr>
          <w:rFonts w:hint="eastAsia"/>
        </w:rPr>
      </w:pPr>
      <w:r>
        <w:rPr>
          <w:rFonts w:hint="eastAsia"/>
        </w:rPr>
        <w:t xml:space="preserve">driving the TB epidemic. Case notification rates may not reflect the areas with </w:t>
      </w:r>
    </w:p>
    <w:p w14:paraId="10C115D4">
      <w:pPr>
        <w:pStyle w:val="2"/>
        <w:rPr>
          <w:rFonts w:hint="eastAsia"/>
        </w:rPr>
      </w:pPr>
      <w:r>
        <w:rPr>
          <w:rFonts w:hint="eastAsia"/>
        </w:rPr>
        <w:t xml:space="preserve">the highest transmission, and Mtb immunoreactivity surveillance may support </w:t>
      </w:r>
    </w:p>
    <w:p w14:paraId="057F9D68">
      <w:pPr>
        <w:pStyle w:val="2"/>
        <w:rPr>
          <w:rFonts w:hint="eastAsia"/>
        </w:rPr>
      </w:pPr>
      <w:r>
        <w:rPr>
          <w:rFonts w:hint="eastAsia"/>
        </w:rPr>
        <w:t xml:space="preserve">identification of high-risk populations, monitoring of trends and targeting of </w:t>
      </w:r>
    </w:p>
    <w:p w14:paraId="6571FC37">
      <w:pPr>
        <w:pStyle w:val="2"/>
        <w:rPr>
          <w:rFonts w:hint="eastAsia"/>
        </w:rPr>
      </w:pPr>
      <w:r>
        <w:rPr>
          <w:rFonts w:hint="eastAsia"/>
        </w:rPr>
        <w:t>public health interventions.</w:t>
      </w:r>
    </w:p>
    <w:p w14:paraId="5D147839">
      <w:pPr>
        <w:pStyle w:val="2"/>
        <w:rPr>
          <w:rFonts w:hint="eastAsia"/>
        </w:rPr>
      </w:pPr>
    </w:p>
    <w:p w14:paraId="3EDF505D">
      <w:pPr>
        <w:pStyle w:val="2"/>
        <w:rPr>
          <w:rFonts w:hint="eastAsia"/>
        </w:rPr>
      </w:pPr>
      <w:r>
        <w:rPr>
          <w:rFonts w:hint="eastAsia"/>
        </w:rPr>
        <w:t xml:space="preserve">Copyright: © 2026 Rickman et al. This is an open access article distributed </w:t>
      </w:r>
    </w:p>
    <w:p w14:paraId="280F31EC">
      <w:pPr>
        <w:pStyle w:val="2"/>
        <w:rPr>
          <w:rFonts w:hint="eastAsia"/>
        </w:rPr>
      </w:pPr>
      <w:r>
        <w:rPr>
          <w:rFonts w:hint="eastAsia"/>
        </w:rPr>
        <w:t xml:space="preserve">under the terms of the Creative Commons Attribution License, which permits </w:t>
      </w:r>
    </w:p>
    <w:p w14:paraId="01D63786">
      <w:pPr>
        <w:pStyle w:val="2"/>
        <w:rPr>
          <w:rFonts w:hint="eastAsia"/>
        </w:rPr>
      </w:pPr>
      <w:r>
        <w:rPr>
          <w:rFonts w:hint="eastAsia"/>
        </w:rPr>
        <w:t xml:space="preserve">unrestricted use, distribution, and reproduction in any medium, provided the </w:t>
      </w:r>
    </w:p>
    <w:p w14:paraId="1E610E30">
      <w:pPr>
        <w:pStyle w:val="2"/>
        <w:rPr>
          <w:rFonts w:hint="eastAsia"/>
        </w:rPr>
      </w:pPr>
      <w:r>
        <w:rPr>
          <w:rFonts w:hint="eastAsia"/>
        </w:rPr>
        <w:t>original author and source are credited.</w:t>
      </w:r>
    </w:p>
    <w:p w14:paraId="767623B5">
      <w:pPr>
        <w:pStyle w:val="2"/>
        <w:rPr>
          <w:rFonts w:hint="eastAsia"/>
        </w:rPr>
      </w:pPr>
    </w:p>
    <w:p w14:paraId="43E5F155">
      <w:pPr>
        <w:pStyle w:val="2"/>
        <w:rPr>
          <w:rFonts w:hint="eastAsia"/>
        </w:rPr>
      </w:pPr>
      <w:r>
        <w:rPr>
          <w:rFonts w:hint="eastAsia"/>
        </w:rPr>
        <w:t>DOI: 10.1371/journal.pgph.0007269</w:t>
      </w:r>
    </w:p>
    <w:p w14:paraId="30BC8268">
      <w:pPr>
        <w:pStyle w:val="2"/>
        <w:rPr>
          <w:rFonts w:hint="eastAsia"/>
        </w:rPr>
      </w:pPr>
      <w:r>
        <w:rPr>
          <w:rFonts w:hint="eastAsia"/>
        </w:rPr>
        <w:t>PMCID: PMC13652165</w:t>
      </w:r>
    </w:p>
    <w:p w14:paraId="39C2C715">
      <w:pPr>
        <w:pStyle w:val="2"/>
        <w:rPr>
          <w:rFonts w:hint="eastAsia"/>
        </w:rPr>
      </w:pPr>
      <w:r>
        <w:rPr>
          <w:rFonts w:hint="eastAsia"/>
        </w:rPr>
        <w:t>PMID: 42853798</w:t>
      </w:r>
    </w:p>
    <w:p w14:paraId="168DECB0">
      <w:pPr>
        <w:pStyle w:val="2"/>
        <w:rPr>
          <w:rFonts w:hint="eastAsia"/>
        </w:rPr>
      </w:pPr>
    </w:p>
    <w:p w14:paraId="05ACFDCE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15</w:t>
      </w:r>
      <w:r>
        <w:rPr>
          <w:rFonts w:hint="eastAsia"/>
          <w:b/>
          <w:bCs/>
          <w:color w:val="FF0000"/>
        </w:rPr>
        <w:t>. J Innate Immun. 2026 Oct 9:1. doi: 10.1159/jin/adhag002. Online ahead of print.</w:t>
      </w:r>
    </w:p>
    <w:p w14:paraId="48D11AEF">
      <w:pPr>
        <w:pStyle w:val="2"/>
        <w:rPr>
          <w:rFonts w:hint="eastAsia"/>
        </w:rPr>
      </w:pPr>
    </w:p>
    <w:p w14:paraId="49BB8668">
      <w:pPr>
        <w:pStyle w:val="2"/>
        <w:rPr>
          <w:rFonts w:hint="eastAsia"/>
        </w:rPr>
      </w:pPr>
      <w:r>
        <w:rPr>
          <w:rFonts w:hint="eastAsia"/>
        </w:rPr>
        <w:t xml:space="preserve">Functional divergence of regulatory and conventional bovine neutrophils </w:t>
      </w:r>
    </w:p>
    <w:p w14:paraId="32968224">
      <w:pPr>
        <w:pStyle w:val="2"/>
        <w:rPr>
          <w:rFonts w:hint="eastAsia"/>
        </w:rPr>
      </w:pPr>
      <w:r>
        <w:rPr>
          <w:rFonts w:hint="eastAsia"/>
        </w:rPr>
        <w:t>following Mycobacterium bovis infection.</w:t>
      </w:r>
    </w:p>
    <w:p w14:paraId="6560A4FC">
      <w:pPr>
        <w:pStyle w:val="2"/>
        <w:rPr>
          <w:rFonts w:hint="eastAsia"/>
        </w:rPr>
      </w:pPr>
    </w:p>
    <w:p w14:paraId="31620235">
      <w:pPr>
        <w:pStyle w:val="2"/>
        <w:rPr>
          <w:rFonts w:hint="eastAsia"/>
        </w:rPr>
      </w:pPr>
      <w:r>
        <w:rPr>
          <w:rFonts w:hint="eastAsia"/>
        </w:rPr>
        <w:t xml:space="preserve">Saint-Vanne M, Bounab B, Eymieux S, Perdriau E, Cunha P, Carreras F, Roullier R, </w:t>
      </w:r>
    </w:p>
    <w:p w14:paraId="11573441">
      <w:pPr>
        <w:pStyle w:val="2"/>
        <w:rPr>
          <w:rFonts w:hint="eastAsia"/>
        </w:rPr>
      </w:pPr>
      <w:r>
        <w:rPr>
          <w:rFonts w:hint="eastAsia"/>
        </w:rPr>
        <w:t>Le Vern Y, Pichon J, Doz-Deblauwe E, Germon P, Winter N, Remot A.</w:t>
      </w:r>
    </w:p>
    <w:p w14:paraId="13B75A76">
      <w:pPr>
        <w:pStyle w:val="2"/>
        <w:rPr>
          <w:rFonts w:hint="eastAsia"/>
        </w:rPr>
      </w:pPr>
    </w:p>
    <w:p w14:paraId="6692CEA0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INTRODUCTION: </w:t>
      </w:r>
      <w:r>
        <w:rPr>
          <w:rFonts w:hint="eastAsia"/>
        </w:rPr>
        <w:t xml:space="preserve">Bovine tuberculosis (bTB), due to Mycobacterium bovis (Mb) </w:t>
      </w:r>
    </w:p>
    <w:p w14:paraId="12F889AE">
      <w:pPr>
        <w:pStyle w:val="2"/>
        <w:rPr>
          <w:rFonts w:hint="eastAsia"/>
        </w:rPr>
      </w:pPr>
      <w:r>
        <w:rPr>
          <w:rFonts w:hint="eastAsia"/>
        </w:rPr>
        <w:t xml:space="preserve">infection, is a chronic cattle disease and neglected cause of zoonotic </w:t>
      </w:r>
    </w:p>
    <w:p w14:paraId="4F6CA438">
      <w:pPr>
        <w:pStyle w:val="2"/>
        <w:rPr>
          <w:rFonts w:hint="eastAsia"/>
        </w:rPr>
      </w:pPr>
      <w:r>
        <w:rPr>
          <w:rFonts w:hint="eastAsia"/>
        </w:rPr>
        <w:t xml:space="preserve">tuberculosis. The role of neutrophils in bTB is overlooked. We recently </w:t>
      </w:r>
    </w:p>
    <w:p w14:paraId="257CFBF2">
      <w:pPr>
        <w:pStyle w:val="2"/>
        <w:rPr>
          <w:rFonts w:hint="eastAsia"/>
        </w:rPr>
      </w:pPr>
      <w:r>
        <w:rPr>
          <w:rFonts w:hint="eastAsia"/>
        </w:rPr>
        <w:t xml:space="preserve">identified a new neutrophil subset in cattle and mice with a similar morphology </w:t>
      </w:r>
    </w:p>
    <w:p w14:paraId="52A33EC9">
      <w:pPr>
        <w:pStyle w:val="2"/>
        <w:rPr>
          <w:rFonts w:hint="eastAsia"/>
        </w:rPr>
      </w:pPr>
      <w:r>
        <w:rPr>
          <w:rFonts w:hint="eastAsia"/>
        </w:rPr>
        <w:t xml:space="preserve">to conventional inflammatory neutrophils (Nconv). However, unlike Nconv, these </w:t>
      </w:r>
    </w:p>
    <w:p w14:paraId="7A31083F">
      <w:pPr>
        <w:pStyle w:val="2"/>
        <w:rPr>
          <w:rFonts w:hint="eastAsia"/>
        </w:rPr>
      </w:pPr>
      <w:r>
        <w:rPr>
          <w:rFonts w:hint="eastAsia"/>
        </w:rPr>
        <w:t xml:space="preserve">regulatory neutrophils (Nreg) express MHC-II at their surface and can suppress </w:t>
      </w:r>
    </w:p>
    <w:p w14:paraId="75AD40B9">
      <w:pPr>
        <w:pStyle w:val="2"/>
        <w:rPr>
          <w:rFonts w:hint="eastAsia"/>
        </w:rPr>
      </w:pPr>
      <w:r>
        <w:rPr>
          <w:rFonts w:hint="eastAsia"/>
        </w:rPr>
        <w:t>lymphocyte proliferation.</w:t>
      </w:r>
    </w:p>
    <w:p w14:paraId="25D47621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METHODS: </w:t>
      </w:r>
      <w:r>
        <w:rPr>
          <w:rFonts w:hint="eastAsia"/>
        </w:rPr>
        <w:t xml:space="preserve">In this study, we compared the responses of bovine Nconv and Nreg to </w:t>
      </w:r>
    </w:p>
    <w:p w14:paraId="300EFE76">
      <w:pPr>
        <w:pStyle w:val="2"/>
        <w:rPr>
          <w:rFonts w:hint="eastAsia"/>
        </w:rPr>
      </w:pPr>
      <w:r>
        <w:rPr>
          <w:rFonts w:hint="eastAsia"/>
        </w:rPr>
        <w:t xml:space="preserve">infection with a virulent Mb strain circulating in France and the attenuated Mb </w:t>
      </w:r>
    </w:p>
    <w:p w14:paraId="3B6F1298">
      <w:pPr>
        <w:pStyle w:val="2"/>
        <w:rPr>
          <w:rFonts w:hint="eastAsia"/>
        </w:rPr>
      </w:pPr>
      <w:r>
        <w:rPr>
          <w:rFonts w:hint="eastAsia"/>
        </w:rPr>
        <w:t>BCG vaccine.</w:t>
      </w:r>
    </w:p>
    <w:p w14:paraId="385A866B">
      <w:pPr>
        <w:pStyle w:val="2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Nreg and Nconv had different transcriptional profiles and were </w:t>
      </w:r>
    </w:p>
    <w:p w14:paraId="5CB36F75">
      <w:pPr>
        <w:pStyle w:val="2"/>
        <w:rPr>
          <w:rFonts w:hint="eastAsia"/>
        </w:rPr>
      </w:pPr>
      <w:r>
        <w:rPr>
          <w:rFonts w:hint="eastAsia"/>
        </w:rPr>
        <w:t xml:space="preserve">differentially activated by Mb infection. Both Nreg and Nconv efficiently killed </w:t>
      </w:r>
    </w:p>
    <w:p w14:paraId="7A72B4FE">
      <w:pPr>
        <w:pStyle w:val="2"/>
        <w:rPr>
          <w:rFonts w:hint="eastAsia"/>
        </w:rPr>
      </w:pPr>
      <w:r>
        <w:rPr>
          <w:rFonts w:hint="eastAsia"/>
        </w:rPr>
        <w:t xml:space="preserve">Mb, but Nreg had higher levels of phagocytosis activity (2-fold difference) and </w:t>
      </w:r>
    </w:p>
    <w:p w14:paraId="602684BD">
      <w:pPr>
        <w:pStyle w:val="2"/>
        <w:rPr>
          <w:rFonts w:hint="eastAsia"/>
        </w:rPr>
      </w:pPr>
      <w:r>
        <w:rPr>
          <w:rFonts w:hint="eastAsia"/>
        </w:rPr>
        <w:t xml:space="preserve">ROS production (2.3-fold difference). Nreg had higher levels of mitochondrial </w:t>
      </w:r>
    </w:p>
    <w:p w14:paraId="41D0EE6D">
      <w:pPr>
        <w:pStyle w:val="2"/>
        <w:rPr>
          <w:rFonts w:hint="eastAsia"/>
        </w:rPr>
      </w:pPr>
      <w:r>
        <w:rPr>
          <w:rFonts w:hint="eastAsia"/>
        </w:rPr>
        <w:t>activity and an ultrastructural organization different from that of Nconv.</w:t>
      </w:r>
    </w:p>
    <w:p w14:paraId="7BFD55D7">
      <w:pPr>
        <w:pStyle w:val="2"/>
        <w:rPr>
          <w:rFonts w:hint="eastAsia"/>
        </w:rPr>
      </w:pPr>
      <w:r>
        <w:rPr>
          <w:rFonts w:hint="eastAsia"/>
          <w:b/>
          <w:bCs/>
        </w:rPr>
        <w:t>CONCLUSION:</w:t>
      </w:r>
      <w:r>
        <w:rPr>
          <w:rFonts w:hint="eastAsia"/>
        </w:rPr>
        <w:t xml:space="preserve"> Our results provide the first insight into the functional </w:t>
      </w:r>
    </w:p>
    <w:p w14:paraId="4ADCAE3C">
      <w:pPr>
        <w:pStyle w:val="2"/>
        <w:rPr>
          <w:rFonts w:hint="eastAsia"/>
        </w:rPr>
      </w:pPr>
      <w:r>
        <w:rPr>
          <w:rFonts w:hint="eastAsia"/>
        </w:rPr>
        <w:t xml:space="preserve">characterization of bovine neutrophil subsets during Mb infection and highlight </w:t>
      </w:r>
    </w:p>
    <w:p w14:paraId="350A4FCB">
      <w:pPr>
        <w:pStyle w:val="2"/>
        <w:rPr>
          <w:rFonts w:hint="eastAsia"/>
        </w:rPr>
      </w:pPr>
      <w:r>
        <w:rPr>
          <w:rFonts w:hint="eastAsia"/>
        </w:rPr>
        <w:t xml:space="preserve">a new layer of complexity in their functional diversity that must be taken into </w:t>
      </w:r>
    </w:p>
    <w:p w14:paraId="37F10712">
      <w:pPr>
        <w:pStyle w:val="2"/>
        <w:rPr>
          <w:rFonts w:hint="eastAsia"/>
        </w:rPr>
      </w:pPr>
      <w:r>
        <w:rPr>
          <w:rFonts w:hint="eastAsia"/>
        </w:rPr>
        <w:t xml:space="preserve">account to improve our understanding of bTB pathophysiology, which is urgently </w:t>
      </w:r>
    </w:p>
    <w:p w14:paraId="48EFFA64">
      <w:pPr>
        <w:pStyle w:val="2"/>
        <w:rPr>
          <w:rFonts w:hint="eastAsia"/>
        </w:rPr>
      </w:pPr>
      <w:r>
        <w:rPr>
          <w:rFonts w:hint="eastAsia"/>
        </w:rPr>
        <w:t>required to improve the management of this costly disease.</w:t>
      </w:r>
    </w:p>
    <w:p w14:paraId="35BE9207">
      <w:pPr>
        <w:pStyle w:val="2"/>
        <w:rPr>
          <w:rFonts w:hint="eastAsia"/>
        </w:rPr>
      </w:pPr>
    </w:p>
    <w:p w14:paraId="26EC7ED7">
      <w:pPr>
        <w:pStyle w:val="2"/>
        <w:rPr>
          <w:rFonts w:hint="eastAsia"/>
        </w:rPr>
      </w:pPr>
      <w:r>
        <w:rPr>
          <w:rFonts w:hint="eastAsia"/>
        </w:rPr>
        <w:t>© The Author(s) 2026. Published by S. Karger AG.</w:t>
      </w:r>
    </w:p>
    <w:p w14:paraId="528DE4AC">
      <w:pPr>
        <w:pStyle w:val="2"/>
        <w:rPr>
          <w:rFonts w:hint="eastAsia"/>
        </w:rPr>
      </w:pPr>
    </w:p>
    <w:p w14:paraId="6883E118">
      <w:pPr>
        <w:pStyle w:val="2"/>
        <w:rPr>
          <w:rFonts w:hint="eastAsia"/>
        </w:rPr>
      </w:pPr>
      <w:r>
        <w:rPr>
          <w:rFonts w:hint="eastAsia"/>
        </w:rPr>
        <w:t>DOI: 10.1159/jin/adhag002</w:t>
      </w:r>
    </w:p>
    <w:p w14:paraId="6C124EC6">
      <w:pPr>
        <w:pStyle w:val="2"/>
        <w:rPr>
          <w:rFonts w:hint="eastAsia"/>
        </w:rPr>
      </w:pPr>
      <w:r>
        <w:rPr>
          <w:rFonts w:hint="eastAsia"/>
        </w:rPr>
        <w:t>PMID: 42853732</w:t>
      </w:r>
    </w:p>
    <w:p w14:paraId="09C839FC">
      <w:pPr>
        <w:pStyle w:val="2"/>
        <w:rPr>
          <w:rFonts w:hint="eastAsia"/>
        </w:rPr>
      </w:pPr>
    </w:p>
    <w:p w14:paraId="30AFD58B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16. Cochrane Database Syst Rev. 2026 Oct 9;10(10):CD016396. doi: </w:t>
      </w:r>
    </w:p>
    <w:p w14:paraId="306A61C0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10.1002/14651858.CD016396.</w:t>
      </w:r>
    </w:p>
    <w:p w14:paraId="29DE2054">
      <w:pPr>
        <w:pStyle w:val="2"/>
        <w:rPr>
          <w:rFonts w:hint="eastAsia"/>
        </w:rPr>
      </w:pPr>
    </w:p>
    <w:p w14:paraId="7DEA21BC">
      <w:pPr>
        <w:pStyle w:val="2"/>
        <w:rPr>
          <w:rFonts w:hint="eastAsia"/>
        </w:rPr>
      </w:pPr>
      <w:r>
        <w:rPr>
          <w:rFonts w:hint="eastAsia"/>
        </w:rPr>
        <w:t xml:space="preserve">Near point-of-care nucleic acid amplification tests (NPOC-NAATs) using </w:t>
      </w:r>
    </w:p>
    <w:p w14:paraId="0D328206">
      <w:pPr>
        <w:pStyle w:val="2"/>
        <w:rPr>
          <w:rFonts w:hint="eastAsia"/>
        </w:rPr>
      </w:pPr>
      <w:r>
        <w:rPr>
          <w:rFonts w:hint="eastAsia"/>
        </w:rPr>
        <w:t>respiratory specimens for detection of pulmonary tuberculosis.</w:t>
      </w:r>
    </w:p>
    <w:p w14:paraId="58A6769F">
      <w:pPr>
        <w:pStyle w:val="2"/>
        <w:rPr>
          <w:rFonts w:hint="eastAsia"/>
        </w:rPr>
      </w:pPr>
    </w:p>
    <w:p w14:paraId="095B80C1">
      <w:pPr>
        <w:pStyle w:val="2"/>
        <w:rPr>
          <w:rFonts w:hint="eastAsia"/>
        </w:rPr>
      </w:pPr>
      <w:r>
        <w:rPr>
          <w:rFonts w:hint="eastAsia"/>
        </w:rPr>
        <w:t xml:space="preserve">Horne DJ(1), Zifodya JS(2), Ejara ED(3), Coston TD(1), Shapiro AE(4), Kohli </w:t>
      </w:r>
    </w:p>
    <w:p w14:paraId="30F61E82">
      <w:pPr>
        <w:pStyle w:val="2"/>
        <w:rPr>
          <w:rFonts w:hint="eastAsia"/>
        </w:rPr>
      </w:pPr>
      <w:r>
        <w:rPr>
          <w:rFonts w:hint="eastAsia"/>
        </w:rPr>
        <w:t>M(5)(6), Schumacher SG(6), Hall-Eidson P(6), Korobitsyn A(6), Takwoingi Y(7).</w:t>
      </w:r>
    </w:p>
    <w:p w14:paraId="52E18267">
      <w:pPr>
        <w:pStyle w:val="2"/>
        <w:rPr>
          <w:rFonts w:hint="eastAsia"/>
        </w:rPr>
      </w:pPr>
    </w:p>
    <w:p w14:paraId="34F83C8D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7649A05A">
      <w:pPr>
        <w:pStyle w:val="2"/>
        <w:rPr>
          <w:rFonts w:hint="eastAsia"/>
        </w:rPr>
      </w:pPr>
      <w:r>
        <w:rPr>
          <w:rFonts w:hint="eastAsia"/>
        </w:rPr>
        <w:t xml:space="preserve">(1)Department of Medicine, Division of Pulmonary, Critical Care &amp; Sleep </w:t>
      </w:r>
    </w:p>
    <w:p w14:paraId="52BC1E50">
      <w:pPr>
        <w:pStyle w:val="2"/>
        <w:rPr>
          <w:rFonts w:hint="eastAsia"/>
        </w:rPr>
      </w:pPr>
      <w:r>
        <w:rPr>
          <w:rFonts w:hint="eastAsia"/>
        </w:rPr>
        <w:t>Medicine, University of Washington, Seattle, Washington, USA.</w:t>
      </w:r>
    </w:p>
    <w:p w14:paraId="74061186">
      <w:pPr>
        <w:pStyle w:val="2"/>
        <w:rPr>
          <w:rFonts w:hint="eastAsia"/>
        </w:rPr>
      </w:pPr>
      <w:r>
        <w:rPr>
          <w:rFonts w:hint="eastAsia"/>
        </w:rPr>
        <w:t xml:space="preserve">(2)Department of Medicine, Section of Pulmonary, Critical Care &amp; Environmental </w:t>
      </w:r>
    </w:p>
    <w:p w14:paraId="36087A19">
      <w:pPr>
        <w:pStyle w:val="2"/>
        <w:rPr>
          <w:rFonts w:hint="eastAsia"/>
        </w:rPr>
      </w:pPr>
      <w:r>
        <w:rPr>
          <w:rFonts w:hint="eastAsia"/>
        </w:rPr>
        <w:t>Medicine, Tulane University, New Orleans, Louisiana, USA.</w:t>
      </w:r>
    </w:p>
    <w:p w14:paraId="6612B878">
      <w:pPr>
        <w:pStyle w:val="2"/>
        <w:rPr>
          <w:rFonts w:hint="eastAsia"/>
        </w:rPr>
      </w:pPr>
      <w:r>
        <w:rPr>
          <w:rFonts w:hint="eastAsia"/>
        </w:rPr>
        <w:t xml:space="preserve">(3)Department of Medicine, Division of General Internal Medicine, University of </w:t>
      </w:r>
    </w:p>
    <w:p w14:paraId="46646B8B">
      <w:pPr>
        <w:pStyle w:val="2"/>
        <w:rPr>
          <w:rFonts w:hint="eastAsia"/>
        </w:rPr>
      </w:pPr>
      <w:r>
        <w:rPr>
          <w:rFonts w:hint="eastAsia"/>
        </w:rPr>
        <w:t>Washington, Seattle, Washington, USA.</w:t>
      </w:r>
    </w:p>
    <w:p w14:paraId="5741BC7A">
      <w:pPr>
        <w:pStyle w:val="2"/>
        <w:rPr>
          <w:rFonts w:hint="eastAsia"/>
        </w:rPr>
      </w:pPr>
      <w:r>
        <w:rPr>
          <w:rFonts w:hint="eastAsia"/>
        </w:rPr>
        <w:t xml:space="preserve">(4)Departments of Global Health and Medicine, Division of Allergy and Infectious </w:t>
      </w:r>
    </w:p>
    <w:p w14:paraId="5FB80CAC">
      <w:pPr>
        <w:pStyle w:val="2"/>
        <w:rPr>
          <w:rFonts w:hint="eastAsia"/>
        </w:rPr>
      </w:pPr>
      <w:r>
        <w:rPr>
          <w:rFonts w:hint="eastAsia"/>
        </w:rPr>
        <w:t>Diseases, University of Washington, Seattle, WA, USA.</w:t>
      </w:r>
    </w:p>
    <w:p w14:paraId="53FE9B7E">
      <w:pPr>
        <w:pStyle w:val="2"/>
        <w:rPr>
          <w:rFonts w:hint="eastAsia"/>
        </w:rPr>
      </w:pPr>
      <w:r>
        <w:rPr>
          <w:rFonts w:hint="eastAsia"/>
        </w:rPr>
        <w:t>(5)FIND, Geneva, Switzerland.</w:t>
      </w:r>
    </w:p>
    <w:p w14:paraId="6E63076E">
      <w:pPr>
        <w:pStyle w:val="2"/>
        <w:rPr>
          <w:rFonts w:hint="eastAsia"/>
        </w:rPr>
      </w:pPr>
      <w:r>
        <w:rPr>
          <w:rFonts w:hint="eastAsia"/>
        </w:rPr>
        <w:t xml:space="preserve">(6)Department for HIV, Tuberculosis, Hepatitis &amp; Sexually Transmitted </w:t>
      </w:r>
    </w:p>
    <w:p w14:paraId="2ADD6E78">
      <w:pPr>
        <w:pStyle w:val="2"/>
        <w:rPr>
          <w:rFonts w:hint="eastAsia"/>
        </w:rPr>
      </w:pPr>
      <w:r>
        <w:rPr>
          <w:rFonts w:hint="eastAsia"/>
        </w:rPr>
        <w:t>Infections, World Health Organization, Geneva, Switzerland.</w:t>
      </w:r>
    </w:p>
    <w:p w14:paraId="446911B3">
      <w:pPr>
        <w:pStyle w:val="2"/>
        <w:rPr>
          <w:rFonts w:hint="eastAsia"/>
        </w:rPr>
      </w:pPr>
      <w:r>
        <w:rPr>
          <w:rFonts w:hint="eastAsia"/>
        </w:rPr>
        <w:t xml:space="preserve">(7)Department of Applied Health Sciences, University of Birmingham, Birmingham, </w:t>
      </w:r>
    </w:p>
    <w:p w14:paraId="782B76F3">
      <w:pPr>
        <w:pStyle w:val="2"/>
        <w:rPr>
          <w:rFonts w:hint="eastAsia"/>
        </w:rPr>
      </w:pPr>
      <w:r>
        <w:rPr>
          <w:rFonts w:hint="eastAsia"/>
        </w:rPr>
        <w:t>UK.</w:t>
      </w:r>
    </w:p>
    <w:p w14:paraId="6A635840">
      <w:pPr>
        <w:pStyle w:val="2"/>
        <w:rPr>
          <w:rFonts w:hint="eastAsia"/>
        </w:rPr>
      </w:pPr>
    </w:p>
    <w:p w14:paraId="1ACC5FE7">
      <w:pPr>
        <w:pStyle w:val="2"/>
        <w:rPr>
          <w:rFonts w:hint="eastAsia"/>
        </w:rPr>
      </w:pPr>
      <w:r>
        <w:rPr>
          <w:rFonts w:hint="eastAsia"/>
          <w:b/>
          <w:bCs/>
        </w:rPr>
        <w:t>RATIONALE:</w:t>
      </w:r>
      <w:r>
        <w:rPr>
          <w:rFonts w:hint="eastAsia"/>
        </w:rPr>
        <w:t xml:space="preserve"> Near point-of-care nucleic acid amplification tests (NPOC-NAATs) are </w:t>
      </w:r>
    </w:p>
    <w:p w14:paraId="32E7B45D">
      <w:pPr>
        <w:pStyle w:val="2"/>
        <w:rPr>
          <w:rFonts w:hint="eastAsia"/>
        </w:rPr>
      </w:pPr>
      <w:r>
        <w:rPr>
          <w:rFonts w:hint="eastAsia"/>
        </w:rPr>
        <w:t xml:space="preserve">a new class of diagnostics that can be used for tuberculosis diagnosis. </w:t>
      </w:r>
    </w:p>
    <w:p w14:paraId="04649B5D">
      <w:pPr>
        <w:pStyle w:val="2"/>
        <w:rPr>
          <w:rFonts w:hint="eastAsia"/>
        </w:rPr>
      </w:pPr>
      <w:r>
        <w:rPr>
          <w:rFonts w:hint="eastAsia"/>
        </w:rPr>
        <w:t xml:space="preserve">NPOC-NAATs are suitable for use in peripheral levels of healthcare systems as </w:t>
      </w:r>
    </w:p>
    <w:p w14:paraId="5EFBDFA3">
      <w:pPr>
        <w:pStyle w:val="2"/>
        <w:rPr>
          <w:rFonts w:hint="eastAsia"/>
        </w:rPr>
      </w:pPr>
      <w:r>
        <w:rPr>
          <w:rFonts w:hint="eastAsia"/>
        </w:rPr>
        <w:t xml:space="preserve">they are battery-operated instrument-based tests without special infrastructure </w:t>
      </w:r>
    </w:p>
    <w:p w14:paraId="6C20E9B2">
      <w:pPr>
        <w:pStyle w:val="2"/>
        <w:rPr>
          <w:rFonts w:hint="eastAsia"/>
        </w:rPr>
      </w:pPr>
      <w:r>
        <w:rPr>
          <w:rFonts w:hint="eastAsia"/>
        </w:rPr>
        <w:t xml:space="preserve">requirements and can be performed by health care workers with basic technical </w:t>
      </w:r>
    </w:p>
    <w:p w14:paraId="2A5159D9">
      <w:pPr>
        <w:pStyle w:val="2"/>
        <w:rPr>
          <w:rFonts w:hint="eastAsia"/>
        </w:rPr>
      </w:pPr>
      <w:r>
        <w:rPr>
          <w:rFonts w:hint="eastAsia"/>
        </w:rPr>
        <w:t xml:space="preserve">skills. We evaluated the accuracy of NPOC-NAATs in diagnosing pulmonary </w:t>
      </w:r>
    </w:p>
    <w:p w14:paraId="4C3F474A">
      <w:pPr>
        <w:pStyle w:val="2"/>
        <w:rPr>
          <w:rFonts w:hint="eastAsia"/>
        </w:rPr>
      </w:pPr>
      <w:r>
        <w:rPr>
          <w:rFonts w:hint="eastAsia"/>
        </w:rPr>
        <w:t>tuberculosis using respiratory samples.</w:t>
      </w:r>
    </w:p>
    <w:p w14:paraId="4C4DBD60">
      <w:pPr>
        <w:pStyle w:val="2"/>
        <w:rPr>
          <w:rFonts w:hint="eastAsia"/>
        </w:rPr>
      </w:pPr>
      <w:r>
        <w:rPr>
          <w:rFonts w:hint="eastAsia"/>
          <w:b/>
          <w:bCs/>
        </w:rPr>
        <w:t>OBJECTIVES:</w:t>
      </w:r>
      <w:r>
        <w:rPr>
          <w:rFonts w:hint="eastAsia"/>
        </w:rPr>
        <w:t xml:space="preserve"> To assess the diagnostic accuracy of NPOC-NAATs for detecting </w:t>
      </w:r>
    </w:p>
    <w:p w14:paraId="40F682EE">
      <w:pPr>
        <w:pStyle w:val="2"/>
        <w:rPr>
          <w:rFonts w:hint="eastAsia"/>
        </w:rPr>
      </w:pPr>
      <w:r>
        <w:rPr>
          <w:rFonts w:hint="eastAsia"/>
        </w:rPr>
        <w:t xml:space="preserve">pulmonary tuberculosis using respiratory samples from adults, adolescents, and </w:t>
      </w:r>
    </w:p>
    <w:p w14:paraId="74D675D2">
      <w:pPr>
        <w:pStyle w:val="2"/>
        <w:rPr>
          <w:rFonts w:hint="eastAsia"/>
        </w:rPr>
      </w:pPr>
      <w:r>
        <w:rPr>
          <w:rFonts w:hint="eastAsia"/>
        </w:rPr>
        <w:t xml:space="preserve">children with presumptive tuberculosis based on signs or symptoms or a positive </w:t>
      </w:r>
    </w:p>
    <w:p w14:paraId="555B51BB">
      <w:pPr>
        <w:pStyle w:val="2"/>
        <w:rPr>
          <w:rFonts w:hint="eastAsia"/>
        </w:rPr>
      </w:pPr>
      <w:r>
        <w:rPr>
          <w:rFonts w:hint="eastAsia"/>
        </w:rPr>
        <w:t xml:space="preserve">diagnostic screening result. Secondary objectives included: 1) to compare the </w:t>
      </w:r>
    </w:p>
    <w:p w14:paraId="20323F8D">
      <w:pPr>
        <w:pStyle w:val="2"/>
        <w:rPr>
          <w:rFonts w:hint="eastAsia"/>
        </w:rPr>
      </w:pPr>
      <w:r>
        <w:rPr>
          <w:rFonts w:hint="eastAsia"/>
        </w:rPr>
        <w:t xml:space="preserve">diagnostic accuracy of NPOC-NAATs versus smear microscopy or low complexity, </w:t>
      </w:r>
    </w:p>
    <w:p w14:paraId="44D93504">
      <w:pPr>
        <w:pStyle w:val="2"/>
        <w:rPr>
          <w:rFonts w:hint="eastAsia"/>
        </w:rPr>
      </w:pPr>
      <w:r>
        <w:rPr>
          <w:rFonts w:hint="eastAsia"/>
        </w:rPr>
        <w:t xml:space="preserve">automated nucleic acid amplification tests (LC-aNAATs) for detecting pulmonary </w:t>
      </w:r>
    </w:p>
    <w:p w14:paraId="4EB6B483">
      <w:pPr>
        <w:pStyle w:val="2"/>
        <w:rPr>
          <w:rFonts w:hint="eastAsia"/>
        </w:rPr>
      </w:pPr>
      <w:r>
        <w:rPr>
          <w:rFonts w:hint="eastAsia"/>
        </w:rPr>
        <w:t xml:space="preserve">tuberculosis using respiratory samples from adults, adolescents, and children; </w:t>
      </w:r>
    </w:p>
    <w:p w14:paraId="03E9312B">
      <w:pPr>
        <w:pStyle w:val="2"/>
        <w:rPr>
          <w:rFonts w:hint="eastAsia"/>
        </w:rPr>
      </w:pPr>
      <w:r>
        <w:rPr>
          <w:rFonts w:hint="eastAsia"/>
        </w:rPr>
        <w:t xml:space="preserve">2) to investigate potential sources of heterogeneity such as smear status, Xpert </w:t>
      </w:r>
    </w:p>
    <w:p w14:paraId="1AEB9943">
      <w:pPr>
        <w:pStyle w:val="2"/>
        <w:rPr>
          <w:rFonts w:hint="eastAsia"/>
        </w:rPr>
      </w:pPr>
      <w:r>
        <w:rPr>
          <w:rFonts w:hint="eastAsia"/>
        </w:rPr>
        <w:t xml:space="preserve">MTB/RIF Ultra semi-quantitative category, HIV status, age groups, and history of </w:t>
      </w:r>
    </w:p>
    <w:p w14:paraId="1B71BB33">
      <w:pPr>
        <w:pStyle w:val="2"/>
        <w:rPr>
          <w:rFonts w:hint="eastAsia"/>
        </w:rPr>
      </w:pPr>
      <w:r>
        <w:rPr>
          <w:rFonts w:hint="eastAsia"/>
        </w:rPr>
        <w:t xml:space="preserve">tuberculosis; 3) to summarise the frequency of inconclusive (invalid, error, no </w:t>
      </w:r>
    </w:p>
    <w:p w14:paraId="4FE04E0C">
      <w:pPr>
        <w:pStyle w:val="2"/>
        <w:rPr>
          <w:rFonts w:hint="eastAsia"/>
        </w:rPr>
      </w:pPr>
      <w:r>
        <w:rPr>
          <w:rFonts w:hint="eastAsia"/>
        </w:rPr>
        <w:t>result, and indeterminate) index test results.</w:t>
      </w:r>
    </w:p>
    <w:p w14:paraId="539A3BC0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SEARCH METHODS: </w:t>
      </w:r>
      <w:r>
        <w:rPr>
          <w:rFonts w:hint="eastAsia"/>
        </w:rPr>
        <w:t xml:space="preserve">We searched seven databases including CENTRAL, MEDLINE, and </w:t>
      </w:r>
    </w:p>
    <w:p w14:paraId="27E7B447">
      <w:pPr>
        <w:pStyle w:val="2"/>
        <w:rPr>
          <w:rFonts w:hint="eastAsia"/>
        </w:rPr>
      </w:pPr>
      <w:r>
        <w:rPr>
          <w:rFonts w:hint="eastAsia"/>
        </w:rPr>
        <w:t xml:space="preserve">Embase, plus two trial registers (ClinicalTrials.gov and the WHO ICTRP) between </w:t>
      </w:r>
    </w:p>
    <w:p w14:paraId="0EE8D839">
      <w:pPr>
        <w:pStyle w:val="2"/>
        <w:rPr>
          <w:rFonts w:hint="eastAsia"/>
        </w:rPr>
      </w:pPr>
      <w:r>
        <w:rPr>
          <w:rFonts w:hint="eastAsia"/>
        </w:rPr>
        <w:t xml:space="preserve">21 and 25 July 2025, without language restrictions. A World Health Organization </w:t>
      </w:r>
    </w:p>
    <w:p w14:paraId="660431E0">
      <w:pPr>
        <w:pStyle w:val="2"/>
        <w:rPr>
          <w:rFonts w:hint="eastAsia"/>
        </w:rPr>
      </w:pPr>
      <w:r>
        <w:rPr>
          <w:rFonts w:hint="eastAsia"/>
        </w:rPr>
        <w:t xml:space="preserve">(WHO) Public Call for ongoing and unpublished studies was made between 29 May </w:t>
      </w:r>
    </w:p>
    <w:p w14:paraId="41B9900D">
      <w:pPr>
        <w:pStyle w:val="2"/>
        <w:rPr>
          <w:rFonts w:hint="eastAsia"/>
        </w:rPr>
      </w:pPr>
      <w:r>
        <w:rPr>
          <w:rFonts w:hint="eastAsia"/>
        </w:rPr>
        <w:t xml:space="preserve">and 15 July 2025. In consultation with the WHO, we searched for studies </w:t>
      </w:r>
    </w:p>
    <w:p w14:paraId="7882CAAA">
      <w:pPr>
        <w:pStyle w:val="2"/>
        <w:rPr>
          <w:rFonts w:hint="eastAsia"/>
        </w:rPr>
      </w:pPr>
      <w:r>
        <w:rPr>
          <w:rFonts w:hint="eastAsia"/>
        </w:rPr>
        <w:t>published since 2024 to reflect the development dates of relevant tests.</w:t>
      </w:r>
    </w:p>
    <w:p w14:paraId="03A3A50E">
      <w:pPr>
        <w:pStyle w:val="2"/>
        <w:rPr>
          <w:rFonts w:hint="eastAsia"/>
        </w:rPr>
      </w:pPr>
      <w:r>
        <w:rPr>
          <w:rFonts w:hint="eastAsia"/>
          <w:b/>
          <w:bCs/>
        </w:rPr>
        <w:t>ELIGIBILITY CRITERIA:</w:t>
      </w:r>
      <w:r>
        <w:rPr>
          <w:rFonts w:hint="eastAsia"/>
        </w:rPr>
        <w:t xml:space="preserve"> We included studies that provided data on the diagnostic </w:t>
      </w:r>
    </w:p>
    <w:p w14:paraId="563AB0B0">
      <w:pPr>
        <w:pStyle w:val="2"/>
        <w:rPr>
          <w:rFonts w:hint="eastAsia"/>
        </w:rPr>
      </w:pPr>
      <w:r>
        <w:rPr>
          <w:rFonts w:hint="eastAsia"/>
        </w:rPr>
        <w:t xml:space="preserve">accuracy of NPOC-NAATs that met our criteria using respiratory specimens in </w:t>
      </w:r>
    </w:p>
    <w:p w14:paraId="3448AEC0">
      <w:pPr>
        <w:pStyle w:val="2"/>
        <w:rPr>
          <w:rFonts w:hint="eastAsia"/>
        </w:rPr>
      </w:pPr>
      <w:r>
        <w:rPr>
          <w:rFonts w:hint="eastAsia"/>
        </w:rPr>
        <w:t xml:space="preserve">children (less than 10 years old), adolescents (aged 10 to 14 years), and adults </w:t>
      </w:r>
    </w:p>
    <w:p w14:paraId="5A9D4F7F">
      <w:pPr>
        <w:pStyle w:val="2"/>
        <w:rPr>
          <w:rFonts w:hint="eastAsia"/>
        </w:rPr>
      </w:pPr>
      <w:r>
        <w:rPr>
          <w:rFonts w:hint="eastAsia"/>
        </w:rPr>
        <w:t xml:space="preserve">(aged 15 years and older) with presumptive pulmonary tuberculosis. The reference </w:t>
      </w:r>
    </w:p>
    <w:p w14:paraId="6E78DA26">
      <w:pPr>
        <w:pStyle w:val="2"/>
        <w:rPr>
          <w:rFonts w:hint="eastAsia"/>
        </w:rPr>
      </w:pPr>
      <w:r>
        <w:rPr>
          <w:rFonts w:hint="eastAsia"/>
        </w:rPr>
        <w:t xml:space="preserve">standards were culture and a composite reference standard that included culture </w:t>
      </w:r>
    </w:p>
    <w:p w14:paraId="2E531DE1">
      <w:pPr>
        <w:pStyle w:val="2"/>
        <w:rPr>
          <w:rFonts w:hint="eastAsia"/>
        </w:rPr>
      </w:pPr>
      <w:r>
        <w:rPr>
          <w:rFonts w:hint="eastAsia"/>
        </w:rPr>
        <w:t>or the clinical decision to treat.</w:t>
      </w:r>
    </w:p>
    <w:p w14:paraId="27673961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RISK OF BIAS AND APPLICABILITY: </w:t>
      </w:r>
      <w:r>
        <w:rPr>
          <w:rFonts w:hint="eastAsia"/>
        </w:rPr>
        <w:t xml:space="preserve">We assessed the risk of bias using the Quality </w:t>
      </w:r>
    </w:p>
    <w:p w14:paraId="3EBF6ABC">
      <w:pPr>
        <w:pStyle w:val="2"/>
        <w:rPr>
          <w:rFonts w:hint="eastAsia"/>
        </w:rPr>
      </w:pPr>
      <w:r>
        <w:rPr>
          <w:rFonts w:hint="eastAsia"/>
        </w:rPr>
        <w:t xml:space="preserve">Assessment of Studies of Diagnostic Accuracy - Revised (QUADAS-2) and QUADAS-C </w:t>
      </w:r>
    </w:p>
    <w:p w14:paraId="498E9B2C">
      <w:pPr>
        <w:pStyle w:val="2"/>
        <w:rPr>
          <w:rFonts w:hint="eastAsia"/>
        </w:rPr>
      </w:pPr>
      <w:r>
        <w:rPr>
          <w:rFonts w:hint="eastAsia"/>
        </w:rPr>
        <w:t>tools.</w:t>
      </w:r>
    </w:p>
    <w:p w14:paraId="1166A36F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SYNTHESIS METHODS: </w:t>
      </w:r>
      <w:r>
        <w:rPr>
          <w:rFonts w:hint="eastAsia"/>
        </w:rPr>
        <w:t xml:space="preserve">Working in pairs, we independently extracted data using a </w:t>
      </w:r>
    </w:p>
    <w:p w14:paraId="2548F04F">
      <w:pPr>
        <w:pStyle w:val="2"/>
        <w:rPr>
          <w:rFonts w:hint="eastAsia"/>
        </w:rPr>
      </w:pPr>
      <w:r>
        <w:rPr>
          <w:rFonts w:hint="eastAsia"/>
        </w:rPr>
        <w:t xml:space="preserve">standardised form. We used a bivariate model for the meta-analyses to estimate </w:t>
      </w:r>
    </w:p>
    <w:p w14:paraId="6FA46414">
      <w:pPr>
        <w:pStyle w:val="2"/>
        <w:rPr>
          <w:rFonts w:hint="eastAsia"/>
        </w:rPr>
      </w:pPr>
      <w:r>
        <w:rPr>
          <w:rFonts w:hint="eastAsia"/>
        </w:rPr>
        <w:t xml:space="preserve">summary sensitivities and specificities for pulmonary tuberculosis detection. We </w:t>
      </w:r>
    </w:p>
    <w:p w14:paraId="5D824A93">
      <w:pPr>
        <w:pStyle w:val="2"/>
        <w:rPr>
          <w:rFonts w:hint="eastAsia"/>
        </w:rPr>
      </w:pPr>
      <w:r>
        <w:rPr>
          <w:rFonts w:hint="eastAsia"/>
        </w:rPr>
        <w:t xml:space="preserve">performed subgroup analyses by smear status and HIV status. We conducted </w:t>
      </w:r>
    </w:p>
    <w:p w14:paraId="52C61910">
      <w:pPr>
        <w:pStyle w:val="2"/>
        <w:rPr>
          <w:rFonts w:hint="eastAsia"/>
        </w:rPr>
      </w:pPr>
      <w:r>
        <w:rPr>
          <w:rFonts w:hint="eastAsia"/>
        </w:rPr>
        <w:t xml:space="preserve">head-to-head comparisons of the accuracy of NPOC-NAATs with those of LC-aNAATs </w:t>
      </w:r>
    </w:p>
    <w:p w14:paraId="2B65789C">
      <w:pPr>
        <w:pStyle w:val="2"/>
        <w:rPr>
          <w:rFonts w:hint="eastAsia"/>
        </w:rPr>
      </w:pPr>
      <w:r>
        <w:rPr>
          <w:rFonts w:hint="eastAsia"/>
        </w:rPr>
        <w:t>and sputum smear microscopy.</w:t>
      </w:r>
    </w:p>
    <w:p w14:paraId="4A4C73B5">
      <w:pPr>
        <w:pStyle w:val="2"/>
        <w:rPr>
          <w:rFonts w:hint="eastAsia"/>
        </w:rPr>
      </w:pPr>
      <w:r>
        <w:rPr>
          <w:rFonts w:hint="eastAsia"/>
          <w:b/>
          <w:bCs/>
        </w:rPr>
        <w:t>INCLUDED STUDIES: W</w:t>
      </w:r>
      <w:r>
        <w:rPr>
          <w:rFonts w:hint="eastAsia"/>
        </w:rPr>
        <w:t xml:space="preserve">e included five studies that enrolled a total of 3291 </w:t>
      </w:r>
    </w:p>
    <w:p w14:paraId="0C01D3C9">
      <w:pPr>
        <w:pStyle w:val="2"/>
        <w:rPr>
          <w:rFonts w:hint="eastAsia"/>
        </w:rPr>
      </w:pPr>
      <w:r>
        <w:rPr>
          <w:rFonts w:hint="eastAsia"/>
        </w:rPr>
        <w:t xml:space="preserve">participants. Study participants were from nine countries, all of which have a </w:t>
      </w:r>
    </w:p>
    <w:p w14:paraId="402B4E95">
      <w:pPr>
        <w:pStyle w:val="2"/>
        <w:rPr>
          <w:rFonts w:hint="eastAsia"/>
        </w:rPr>
      </w:pPr>
      <w:r>
        <w:rPr>
          <w:rFonts w:hint="eastAsia"/>
        </w:rPr>
        <w:t xml:space="preserve">moderate to high tuberculosis burden. All studies assessed the diagnostic </w:t>
      </w:r>
    </w:p>
    <w:p w14:paraId="6869736A">
      <w:pPr>
        <w:pStyle w:val="2"/>
        <w:rPr>
          <w:rFonts w:hint="eastAsia"/>
        </w:rPr>
      </w:pPr>
      <w:r>
        <w:rPr>
          <w:rFonts w:hint="eastAsia"/>
        </w:rPr>
        <w:t xml:space="preserve">accuracy of one design-locked and marketed NPOC-NAAT that met WHO criteria: the </w:t>
      </w:r>
    </w:p>
    <w:p w14:paraId="037244A6">
      <w:pPr>
        <w:pStyle w:val="2"/>
        <w:rPr>
          <w:rFonts w:hint="eastAsia"/>
        </w:rPr>
      </w:pPr>
      <w:r>
        <w:rPr>
          <w:rFonts w:hint="eastAsia"/>
        </w:rPr>
        <w:t xml:space="preserve">MTB NAT Card analysed using the battery-powered Pluslife Thermolyse and MiniDock </w:t>
      </w:r>
    </w:p>
    <w:p w14:paraId="2301766E">
      <w:pPr>
        <w:pStyle w:val="2"/>
        <w:rPr>
          <w:rFonts w:hint="eastAsia"/>
        </w:rPr>
      </w:pPr>
      <w:r>
        <w:rPr>
          <w:rFonts w:hint="eastAsia"/>
        </w:rPr>
        <w:t>(Minidock) devices. The only specimen type with available data was sputum.</w:t>
      </w:r>
    </w:p>
    <w:p w14:paraId="2DC8B3CC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SYNTHESIS OF RESULTS: </w:t>
      </w:r>
      <w:r>
        <w:rPr>
          <w:rFonts w:hint="eastAsia"/>
        </w:rPr>
        <w:t xml:space="preserve">For detection of pulmonary tuberculosis using respiratory </w:t>
      </w:r>
    </w:p>
    <w:p w14:paraId="520608FE">
      <w:pPr>
        <w:pStyle w:val="2"/>
        <w:rPr>
          <w:rFonts w:hint="eastAsia"/>
        </w:rPr>
      </w:pPr>
      <w:r>
        <w:rPr>
          <w:rFonts w:hint="eastAsia"/>
        </w:rPr>
        <w:t xml:space="preserve">specimens, NPOC-NAAT (MiniDock) had a summary sensitivity against culture of </w:t>
      </w:r>
    </w:p>
    <w:p w14:paraId="0F7C5D86">
      <w:pPr>
        <w:pStyle w:val="2"/>
        <w:rPr>
          <w:rFonts w:hint="eastAsia"/>
        </w:rPr>
      </w:pPr>
      <w:r>
        <w:rPr>
          <w:rFonts w:hint="eastAsia"/>
        </w:rPr>
        <w:t xml:space="preserve">85.4% (95% confidence interval (CI) 82.2 to 88.1). The corresponding summary </w:t>
      </w:r>
    </w:p>
    <w:p w14:paraId="13FAC7E2">
      <w:pPr>
        <w:pStyle w:val="2"/>
        <w:rPr>
          <w:rFonts w:hint="eastAsia"/>
        </w:rPr>
      </w:pPr>
      <w:r>
        <w:rPr>
          <w:rFonts w:hint="eastAsia"/>
        </w:rPr>
        <w:t xml:space="preserve">specificity was 97.6% (95% CI 96.9 to 98.1) (5 studies, 3291 participants; </w:t>
      </w:r>
    </w:p>
    <w:p w14:paraId="7739FD5A">
      <w:pPr>
        <w:pStyle w:val="2"/>
        <w:rPr>
          <w:rFonts w:hint="eastAsia"/>
        </w:rPr>
      </w:pPr>
      <w:r>
        <w:rPr>
          <w:rFonts w:hint="eastAsia"/>
        </w:rPr>
        <w:t xml:space="preserve">moderate-certainty evidence). Most studies had a low risk of bias in all </w:t>
      </w:r>
    </w:p>
    <w:p w14:paraId="3FFDA456">
      <w:pPr>
        <w:pStyle w:val="2"/>
        <w:rPr>
          <w:rFonts w:hint="eastAsia"/>
        </w:rPr>
      </w:pPr>
      <w:r>
        <w:rPr>
          <w:rFonts w:hint="eastAsia"/>
        </w:rPr>
        <w:t xml:space="preserve">QUADAS-2 domains. However, we downgraded the certainty of evidence by one level </w:t>
      </w:r>
    </w:p>
    <w:p w14:paraId="66214688">
      <w:pPr>
        <w:pStyle w:val="2"/>
        <w:rPr>
          <w:rFonts w:hint="eastAsia"/>
        </w:rPr>
      </w:pPr>
      <w:r>
        <w:rPr>
          <w:rFonts w:hint="eastAsia"/>
        </w:rPr>
        <w:t xml:space="preserve">due to applicability concerns, as most studies performed NPOC-NAATs in </w:t>
      </w:r>
    </w:p>
    <w:p w14:paraId="0FA68282">
      <w:pPr>
        <w:pStyle w:val="2"/>
        <w:rPr>
          <w:rFonts w:hint="eastAsia"/>
        </w:rPr>
      </w:pPr>
      <w:r>
        <w:rPr>
          <w:rFonts w:hint="eastAsia"/>
        </w:rPr>
        <w:t xml:space="preserve">laboratories rather than in peripheral settings. If the summary point estimates </w:t>
      </w:r>
    </w:p>
    <w:p w14:paraId="288FBBD1">
      <w:pPr>
        <w:pStyle w:val="2"/>
        <w:rPr>
          <w:rFonts w:hint="eastAsia"/>
        </w:rPr>
      </w:pPr>
      <w:r>
        <w:rPr>
          <w:rFonts w:hint="eastAsia"/>
        </w:rPr>
        <w:t xml:space="preserve">for NPOC-NAATs are applied to a hypothetical cohort of 1000 people, where 100 of </w:t>
      </w:r>
    </w:p>
    <w:p w14:paraId="23ACC9D0">
      <w:pPr>
        <w:pStyle w:val="2"/>
        <w:rPr>
          <w:rFonts w:hint="eastAsia"/>
        </w:rPr>
      </w:pPr>
      <w:r>
        <w:rPr>
          <w:rFonts w:hint="eastAsia"/>
        </w:rPr>
        <w:t xml:space="preserve">those presenting with symptoms have pulmonary tuberculosis, NPOC-NAATs will miss </w:t>
      </w:r>
    </w:p>
    <w:p w14:paraId="1EE7EEB8">
      <w:pPr>
        <w:pStyle w:val="2"/>
        <w:rPr>
          <w:rFonts w:hint="eastAsia"/>
        </w:rPr>
      </w:pPr>
      <w:r>
        <w:rPr>
          <w:rFonts w:hint="eastAsia"/>
        </w:rPr>
        <w:t xml:space="preserve">15 people with tuberculosis and wrongly diagnose 22 people without tuberculosis </w:t>
      </w:r>
    </w:p>
    <w:p w14:paraId="0BF20BD1">
      <w:pPr>
        <w:pStyle w:val="2"/>
        <w:rPr>
          <w:rFonts w:hint="eastAsia"/>
        </w:rPr>
      </w:pPr>
      <w:r>
        <w:rPr>
          <w:rFonts w:hint="eastAsia"/>
        </w:rPr>
        <w:t xml:space="preserve">as having tuberculosis. In people living with HIV, NPOC-NAAT had a summary </w:t>
      </w:r>
    </w:p>
    <w:p w14:paraId="09DFC1F2">
      <w:pPr>
        <w:pStyle w:val="2"/>
        <w:rPr>
          <w:rFonts w:hint="eastAsia"/>
        </w:rPr>
      </w:pPr>
      <w:r>
        <w:rPr>
          <w:rFonts w:hint="eastAsia"/>
        </w:rPr>
        <w:t xml:space="preserve">sensitivity against culture of 79.2% (95% CI 68.7 to 86.9), with a summary </w:t>
      </w:r>
    </w:p>
    <w:p w14:paraId="778CBAA1">
      <w:pPr>
        <w:pStyle w:val="2"/>
        <w:rPr>
          <w:rFonts w:hint="eastAsia"/>
        </w:rPr>
      </w:pPr>
      <w:r>
        <w:rPr>
          <w:rFonts w:hint="eastAsia"/>
        </w:rPr>
        <w:t xml:space="preserve">specificity of 96.7% (95% CI 94.6 to 98.1) (5 studies, 506 participants; </w:t>
      </w:r>
    </w:p>
    <w:p w14:paraId="2311B2B8">
      <w:pPr>
        <w:pStyle w:val="2"/>
        <w:rPr>
          <w:rFonts w:hint="eastAsia"/>
        </w:rPr>
      </w:pPr>
      <w:r>
        <w:rPr>
          <w:rFonts w:hint="eastAsia"/>
        </w:rPr>
        <w:t xml:space="preserve">moderate-certainty evidence). Amongst people with smear-negative, </w:t>
      </w:r>
    </w:p>
    <w:p w14:paraId="6D54C846">
      <w:pPr>
        <w:pStyle w:val="2"/>
        <w:rPr>
          <w:rFonts w:hint="eastAsia"/>
        </w:rPr>
      </w:pPr>
      <w:r>
        <w:rPr>
          <w:rFonts w:hint="eastAsia"/>
        </w:rPr>
        <w:t xml:space="preserve">culture-positive pulmonary tuberculosis, NPOC-NAAT summary sensitivity and </w:t>
      </w:r>
    </w:p>
    <w:p w14:paraId="062C0D51">
      <w:pPr>
        <w:pStyle w:val="2"/>
        <w:rPr>
          <w:rFonts w:hint="eastAsia"/>
        </w:rPr>
      </w:pPr>
      <w:r>
        <w:rPr>
          <w:rFonts w:hint="eastAsia"/>
        </w:rPr>
        <w:t xml:space="preserve">specificity were 66.7% (95% CI 58.8 to 73.7) and 97.7% (95% CI 97.0 to 98.3), </w:t>
      </w:r>
    </w:p>
    <w:p w14:paraId="7559EC5A">
      <w:pPr>
        <w:pStyle w:val="2"/>
        <w:rPr>
          <w:rFonts w:hint="eastAsia"/>
        </w:rPr>
      </w:pPr>
      <w:r>
        <w:rPr>
          <w:rFonts w:hint="eastAsia"/>
        </w:rPr>
        <w:t xml:space="preserve">respectively (3 studies, 2241 participants). There were not enough studies to </w:t>
      </w:r>
    </w:p>
    <w:p w14:paraId="74C4F47D">
      <w:pPr>
        <w:pStyle w:val="2"/>
        <w:rPr>
          <w:rFonts w:hint="eastAsia"/>
        </w:rPr>
      </w:pPr>
      <w:r>
        <w:rPr>
          <w:rFonts w:hint="eastAsia"/>
        </w:rPr>
        <w:t xml:space="preserve">perform other preplanned analyses, such as NPOC-NAATs performance in people with </w:t>
      </w:r>
    </w:p>
    <w:p w14:paraId="76EAAC8D">
      <w:pPr>
        <w:pStyle w:val="2"/>
        <w:rPr>
          <w:rFonts w:hint="eastAsia"/>
        </w:rPr>
      </w:pPr>
      <w:r>
        <w:rPr>
          <w:rFonts w:hint="eastAsia"/>
        </w:rPr>
        <w:t xml:space="preserve">a history of tuberculosis and in children. When compared to Xpert MTB/RIF Ultra, </w:t>
      </w:r>
    </w:p>
    <w:p w14:paraId="4C135920">
      <w:pPr>
        <w:pStyle w:val="2"/>
        <w:rPr>
          <w:rFonts w:hint="eastAsia"/>
        </w:rPr>
      </w:pPr>
      <w:r>
        <w:rPr>
          <w:rFonts w:hint="eastAsia"/>
        </w:rPr>
        <w:t xml:space="preserve">an LC-aNAAT, NPOC-NAATs had lower sensitivity (85.6% vs 93.1%; -7.54 percentage </w:t>
      </w:r>
    </w:p>
    <w:p w14:paraId="42365E0B">
      <w:pPr>
        <w:pStyle w:val="2"/>
        <w:rPr>
          <w:rFonts w:hint="eastAsia"/>
        </w:rPr>
      </w:pPr>
      <w:r>
        <w:rPr>
          <w:rFonts w:hint="eastAsia"/>
        </w:rPr>
        <w:t xml:space="preserve">points, 95% CI -11.6 to -3.47) but similar specificity (97.6% vs 97.3%; 0.34 </w:t>
      </w:r>
    </w:p>
    <w:p w14:paraId="2B44684C">
      <w:pPr>
        <w:pStyle w:val="2"/>
        <w:rPr>
          <w:rFonts w:hint="eastAsia"/>
        </w:rPr>
      </w:pPr>
      <w:r>
        <w:rPr>
          <w:rFonts w:hint="eastAsia"/>
        </w:rPr>
        <w:t xml:space="preserve">percentage points, 95% CI -1.16 to 1.84) for the detection of pulmonary </w:t>
      </w:r>
    </w:p>
    <w:p w14:paraId="39D9609E">
      <w:pPr>
        <w:pStyle w:val="2"/>
        <w:rPr>
          <w:rFonts w:hint="eastAsia"/>
        </w:rPr>
      </w:pPr>
      <w:r>
        <w:rPr>
          <w:rFonts w:hint="eastAsia"/>
        </w:rPr>
        <w:t xml:space="preserve">tuberculosis (5 studies, 3199 participants; moderate-certainty evidence). When </w:t>
      </w:r>
    </w:p>
    <w:p w14:paraId="1EABDE0D">
      <w:pPr>
        <w:pStyle w:val="2"/>
        <w:rPr>
          <w:rFonts w:hint="eastAsia"/>
        </w:rPr>
      </w:pPr>
      <w:r>
        <w:rPr>
          <w:rFonts w:hint="eastAsia"/>
        </w:rPr>
        <w:t xml:space="preserve">compared to sputum smear microscopy, NPOC-NAATs had a higher sensitivity (86.7% </w:t>
      </w:r>
    </w:p>
    <w:p w14:paraId="5BF9083A">
      <w:pPr>
        <w:pStyle w:val="2"/>
        <w:rPr>
          <w:rFonts w:hint="eastAsia"/>
        </w:rPr>
      </w:pPr>
      <w:r>
        <w:rPr>
          <w:rFonts w:hint="eastAsia"/>
        </w:rPr>
        <w:t xml:space="preserve">vs 64.7%; 22.0 percentage points, 95% CI 15.7 to 28.3) with lower specificity </w:t>
      </w:r>
    </w:p>
    <w:p w14:paraId="17539407">
      <w:pPr>
        <w:pStyle w:val="2"/>
        <w:rPr>
          <w:rFonts w:hint="eastAsia"/>
        </w:rPr>
      </w:pPr>
      <w:r>
        <w:rPr>
          <w:rFonts w:hint="eastAsia"/>
        </w:rPr>
        <w:t xml:space="preserve">(97.7% vs 99.9%; -2.17 percentage points, 95% CI -2.85 to -1.48) for detection </w:t>
      </w:r>
    </w:p>
    <w:p w14:paraId="45C2D312">
      <w:pPr>
        <w:pStyle w:val="2"/>
        <w:rPr>
          <w:rFonts w:hint="eastAsia"/>
        </w:rPr>
      </w:pPr>
      <w:r>
        <w:rPr>
          <w:rFonts w:hint="eastAsia"/>
        </w:rPr>
        <w:t>of pulmonary tuberculosis (3 studies, 2516 participants).</w:t>
      </w:r>
    </w:p>
    <w:p w14:paraId="23DED445">
      <w:pPr>
        <w:pStyle w:val="2"/>
        <w:rPr>
          <w:rFonts w:hint="eastAsia"/>
        </w:rPr>
      </w:pPr>
      <w:r>
        <w:rPr>
          <w:rFonts w:hint="eastAsia"/>
          <w:b/>
          <w:bCs/>
        </w:rPr>
        <w:t>AUTHORS' CONCLUSIONS: N</w:t>
      </w:r>
      <w:r>
        <w:rPr>
          <w:rFonts w:hint="eastAsia"/>
        </w:rPr>
        <w:t xml:space="preserve">POC-NAATs (Pluslife Minidock) are sensitive and specific </w:t>
      </w:r>
    </w:p>
    <w:p w14:paraId="065864DE">
      <w:pPr>
        <w:pStyle w:val="2"/>
        <w:rPr>
          <w:rFonts w:hint="eastAsia"/>
        </w:rPr>
      </w:pPr>
      <w:r>
        <w:rPr>
          <w:rFonts w:hint="eastAsia"/>
        </w:rPr>
        <w:t xml:space="preserve">for the detection of pulmonary tuberculosis using respiratory specimens. </w:t>
      </w:r>
    </w:p>
    <w:p w14:paraId="5C5B80E1">
      <w:pPr>
        <w:pStyle w:val="2"/>
        <w:rPr>
          <w:rFonts w:hint="eastAsia"/>
        </w:rPr>
      </w:pPr>
      <w:r>
        <w:rPr>
          <w:rFonts w:hint="eastAsia"/>
        </w:rPr>
        <w:t xml:space="preserve">NPOC-NAATs have lower sensitivity for the detection of pulmonary tuberculosis in </w:t>
      </w:r>
    </w:p>
    <w:p w14:paraId="349F88BB">
      <w:pPr>
        <w:pStyle w:val="2"/>
        <w:rPr>
          <w:rFonts w:hint="eastAsia"/>
        </w:rPr>
      </w:pPr>
      <w:r>
        <w:rPr>
          <w:rFonts w:hint="eastAsia"/>
        </w:rPr>
        <w:t xml:space="preserve">people living with HIV and with smear-negative/culture-positive tuberculosis. </w:t>
      </w:r>
    </w:p>
    <w:p w14:paraId="73DDC693">
      <w:pPr>
        <w:pStyle w:val="2"/>
        <w:rPr>
          <w:rFonts w:hint="eastAsia"/>
        </w:rPr>
      </w:pPr>
      <w:r>
        <w:rPr>
          <w:rFonts w:hint="eastAsia"/>
        </w:rPr>
        <w:t xml:space="preserve">Compared to Xpert MTB/RIF Ultra, NPOC-NAATs have a lower sensitivity but a </w:t>
      </w:r>
    </w:p>
    <w:p w14:paraId="60D9A4DA">
      <w:pPr>
        <w:pStyle w:val="2"/>
        <w:rPr>
          <w:rFonts w:hint="eastAsia"/>
        </w:rPr>
      </w:pPr>
      <w:r>
        <w:rPr>
          <w:rFonts w:hint="eastAsia"/>
        </w:rPr>
        <w:t xml:space="preserve">similar specificity for the diagnosis of pulmonary tuberculosis. Strengths of </w:t>
      </w:r>
    </w:p>
    <w:p w14:paraId="2D4B83A1">
      <w:pPr>
        <w:pStyle w:val="2"/>
        <w:rPr>
          <w:rFonts w:hint="eastAsia"/>
        </w:rPr>
      </w:pPr>
      <w:r>
        <w:rPr>
          <w:rFonts w:hint="eastAsia"/>
        </w:rPr>
        <w:t xml:space="preserve">this review include the approach to identifying relevant studies and the number </w:t>
      </w:r>
    </w:p>
    <w:p w14:paraId="69735BDE">
      <w:pPr>
        <w:pStyle w:val="2"/>
        <w:rPr>
          <w:rFonts w:hint="eastAsia"/>
        </w:rPr>
      </w:pPr>
      <w:r>
        <w:rPr>
          <w:rFonts w:hint="eastAsia"/>
        </w:rPr>
        <w:t xml:space="preserve">of participants included. Notably, only MiniDock NPOC-NAAT met the WHO NPOC-NAAT </w:t>
      </w:r>
    </w:p>
    <w:p w14:paraId="29862BC9">
      <w:pPr>
        <w:pStyle w:val="2"/>
        <w:rPr>
          <w:rFonts w:hint="eastAsia"/>
        </w:rPr>
      </w:pPr>
      <w:r>
        <w:rPr>
          <w:rFonts w:hint="eastAsia"/>
        </w:rPr>
        <w:t xml:space="preserve">class definition and study inclusion criteria. Some uncertainty remains </w:t>
      </w:r>
    </w:p>
    <w:p w14:paraId="51223EE8">
      <w:pPr>
        <w:pStyle w:val="2"/>
        <w:rPr>
          <w:rFonts w:hint="eastAsia"/>
        </w:rPr>
      </w:pPr>
      <w:r>
        <w:rPr>
          <w:rFonts w:hint="eastAsia"/>
        </w:rPr>
        <w:t xml:space="preserve">regarding the applicability of the review findings, as most studies performed </w:t>
      </w:r>
    </w:p>
    <w:p w14:paraId="1C4BA972">
      <w:pPr>
        <w:pStyle w:val="2"/>
        <w:rPr>
          <w:rFonts w:hint="eastAsia"/>
        </w:rPr>
      </w:pPr>
      <w:r>
        <w:rPr>
          <w:rFonts w:hint="eastAsia"/>
        </w:rPr>
        <w:t xml:space="preserve">testing in central laboratories rather than peripheral near point-of-care </w:t>
      </w:r>
    </w:p>
    <w:p w14:paraId="1F1B21E1">
      <w:pPr>
        <w:pStyle w:val="2"/>
        <w:rPr>
          <w:rFonts w:hint="eastAsia"/>
        </w:rPr>
      </w:pPr>
      <w:r>
        <w:rPr>
          <w:rFonts w:hint="eastAsia"/>
        </w:rPr>
        <w:t xml:space="preserve">settings. Only one study evaluated NPOC-NAATs for the diagnosis of pulmonary </w:t>
      </w:r>
    </w:p>
    <w:p w14:paraId="18BDD269">
      <w:pPr>
        <w:pStyle w:val="2"/>
        <w:rPr>
          <w:rFonts w:hint="eastAsia"/>
        </w:rPr>
      </w:pPr>
      <w:r>
        <w:rPr>
          <w:rFonts w:hint="eastAsia"/>
        </w:rPr>
        <w:t xml:space="preserve">tuberculosis in children, none of whom were diagnosed with </w:t>
      </w:r>
    </w:p>
    <w:p w14:paraId="36E20446">
      <w:pPr>
        <w:pStyle w:val="2"/>
        <w:rPr>
          <w:rFonts w:hint="eastAsia"/>
        </w:rPr>
      </w:pPr>
      <w:r>
        <w:rPr>
          <w:rFonts w:hint="eastAsia"/>
        </w:rPr>
        <w:t xml:space="preserve">microbiologically-confirmed tuberculosis. NPOC-NAATs provide accurate results </w:t>
      </w:r>
    </w:p>
    <w:p w14:paraId="3565636F">
      <w:pPr>
        <w:pStyle w:val="2"/>
        <w:rPr>
          <w:rFonts w:hint="eastAsia"/>
        </w:rPr>
      </w:pPr>
      <w:r>
        <w:rPr>
          <w:rFonts w:hint="eastAsia"/>
        </w:rPr>
        <w:t>and can allow rapid initiation of treatment for pulmonary tuberculosis.</w:t>
      </w:r>
    </w:p>
    <w:p w14:paraId="2A75777D">
      <w:pPr>
        <w:pStyle w:val="2"/>
        <w:rPr>
          <w:rFonts w:hint="eastAsia"/>
        </w:rPr>
      </w:pPr>
      <w:r>
        <w:rPr>
          <w:rFonts w:hint="eastAsia"/>
        </w:rPr>
        <w:t>FUNDING: The WHO supported this systematic review.</w:t>
      </w:r>
    </w:p>
    <w:p w14:paraId="596B453C">
      <w:pPr>
        <w:pStyle w:val="2"/>
        <w:rPr>
          <w:rFonts w:hint="eastAsia"/>
        </w:rPr>
      </w:pPr>
      <w:r>
        <w:rPr>
          <w:rFonts w:hint="eastAsia"/>
        </w:rPr>
        <w:t>REGISTRATION: Generic protocol available on PROSPERO (CRD420251123343).</w:t>
      </w:r>
    </w:p>
    <w:p w14:paraId="74550D5D">
      <w:pPr>
        <w:pStyle w:val="2"/>
        <w:rPr>
          <w:rFonts w:hint="eastAsia"/>
        </w:rPr>
      </w:pPr>
    </w:p>
    <w:p w14:paraId="4D2D963F">
      <w:pPr>
        <w:pStyle w:val="2"/>
        <w:rPr>
          <w:rFonts w:hint="eastAsia"/>
        </w:rPr>
      </w:pPr>
      <w:r>
        <w:rPr>
          <w:rFonts w:hint="eastAsia"/>
        </w:rPr>
        <w:t xml:space="preserve">Copyright © 2026 The Cochrane Collaboration. Published by John Wiley &amp; Sons, </w:t>
      </w:r>
    </w:p>
    <w:p w14:paraId="7D6C395D">
      <w:pPr>
        <w:pStyle w:val="2"/>
        <w:rPr>
          <w:rFonts w:hint="eastAsia"/>
        </w:rPr>
      </w:pPr>
      <w:r>
        <w:rPr>
          <w:rFonts w:hint="eastAsia"/>
        </w:rPr>
        <w:t>Ltd.</w:t>
      </w:r>
    </w:p>
    <w:p w14:paraId="5642032C">
      <w:pPr>
        <w:pStyle w:val="2"/>
        <w:rPr>
          <w:rFonts w:hint="eastAsia"/>
        </w:rPr>
      </w:pPr>
    </w:p>
    <w:p w14:paraId="3C8FB4AD">
      <w:pPr>
        <w:pStyle w:val="2"/>
        <w:rPr>
          <w:rFonts w:hint="eastAsia"/>
        </w:rPr>
      </w:pPr>
      <w:r>
        <w:rPr>
          <w:rFonts w:hint="eastAsia"/>
        </w:rPr>
        <w:t>DOI: 10.1002/14651858.CD016396</w:t>
      </w:r>
    </w:p>
    <w:p w14:paraId="36CA9C6B">
      <w:pPr>
        <w:pStyle w:val="2"/>
        <w:rPr>
          <w:rFonts w:hint="eastAsia"/>
        </w:rPr>
      </w:pPr>
      <w:r>
        <w:rPr>
          <w:rFonts w:hint="eastAsia"/>
        </w:rPr>
        <w:t>PMCID: PMC13650977</w:t>
      </w:r>
    </w:p>
    <w:p w14:paraId="0D5DAAA9">
      <w:pPr>
        <w:pStyle w:val="2"/>
        <w:rPr>
          <w:rFonts w:hint="eastAsia"/>
        </w:rPr>
      </w:pPr>
      <w:r>
        <w:rPr>
          <w:rFonts w:hint="eastAsia"/>
        </w:rPr>
        <w:t>PMID: 42852683 [Indexed for MEDLINE]</w:t>
      </w:r>
    </w:p>
    <w:p w14:paraId="7B9E66AA">
      <w:pPr>
        <w:pStyle w:val="2"/>
        <w:rPr>
          <w:rFonts w:hint="eastAsia"/>
        </w:rPr>
      </w:pPr>
    </w:p>
    <w:p w14:paraId="7FCAD70A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17. Elife. 2026 Oct 9;14:RP109450. doi: 10.7554/eLife.109450.</w:t>
      </w:r>
    </w:p>
    <w:p w14:paraId="6C71FA52">
      <w:pPr>
        <w:pStyle w:val="2"/>
        <w:rPr>
          <w:rFonts w:hint="eastAsia"/>
        </w:rPr>
      </w:pPr>
    </w:p>
    <w:p w14:paraId="61FA01D3">
      <w:pPr>
        <w:pStyle w:val="2"/>
        <w:rPr>
          <w:rFonts w:hint="eastAsia"/>
        </w:rPr>
      </w:pPr>
      <w:r>
        <w:rPr>
          <w:rFonts w:hint="eastAsia"/>
        </w:rPr>
        <w:t xml:space="preserve">The structural context of mutations in proteins predicts their effect on </w:t>
      </w:r>
    </w:p>
    <w:p w14:paraId="0E31934C">
      <w:pPr>
        <w:pStyle w:val="2"/>
        <w:rPr>
          <w:rFonts w:hint="eastAsia"/>
        </w:rPr>
      </w:pPr>
      <w:r>
        <w:rPr>
          <w:rFonts w:hint="eastAsia"/>
        </w:rPr>
        <w:t>antibiotic resistance.</w:t>
      </w:r>
    </w:p>
    <w:p w14:paraId="3550EEC9">
      <w:pPr>
        <w:pStyle w:val="2"/>
        <w:rPr>
          <w:rFonts w:hint="eastAsia"/>
        </w:rPr>
      </w:pPr>
    </w:p>
    <w:p w14:paraId="3E93B69A">
      <w:pPr>
        <w:pStyle w:val="2"/>
        <w:rPr>
          <w:rFonts w:hint="eastAsia"/>
        </w:rPr>
      </w:pPr>
      <w:r>
        <w:rPr>
          <w:rFonts w:hint="eastAsia"/>
        </w:rPr>
        <w:t>Green AG(1)(2), Tasmin M(2), Vargas R Jr(1), Farhat MR(1)(3).</w:t>
      </w:r>
    </w:p>
    <w:p w14:paraId="1448766B">
      <w:pPr>
        <w:pStyle w:val="2"/>
        <w:rPr>
          <w:rFonts w:hint="eastAsia"/>
        </w:rPr>
      </w:pPr>
    </w:p>
    <w:p w14:paraId="7548359C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783A4CE5">
      <w:pPr>
        <w:pStyle w:val="2"/>
        <w:rPr>
          <w:rFonts w:hint="eastAsia"/>
        </w:rPr>
      </w:pPr>
      <w:r>
        <w:rPr>
          <w:rFonts w:hint="eastAsia"/>
        </w:rPr>
        <w:t xml:space="preserve">(1)Department of Biomedical Informatics, Harvard Medical School, Boston, United </w:t>
      </w:r>
    </w:p>
    <w:p w14:paraId="4AD4AF27">
      <w:pPr>
        <w:pStyle w:val="2"/>
        <w:rPr>
          <w:rFonts w:hint="eastAsia"/>
        </w:rPr>
      </w:pPr>
      <w:r>
        <w:rPr>
          <w:rFonts w:hint="eastAsia"/>
        </w:rPr>
        <w:t>States.</w:t>
      </w:r>
    </w:p>
    <w:p w14:paraId="755F88A6">
      <w:pPr>
        <w:pStyle w:val="2"/>
        <w:rPr>
          <w:rFonts w:hint="eastAsia"/>
        </w:rPr>
      </w:pPr>
      <w:r>
        <w:rPr>
          <w:rFonts w:hint="eastAsia"/>
        </w:rPr>
        <w:t xml:space="preserve">(2)Manning College of Information and Computer Sciences, University of </w:t>
      </w:r>
    </w:p>
    <w:p w14:paraId="3E8A8846">
      <w:pPr>
        <w:pStyle w:val="2"/>
        <w:rPr>
          <w:rFonts w:hint="eastAsia"/>
        </w:rPr>
      </w:pPr>
      <w:r>
        <w:rPr>
          <w:rFonts w:hint="eastAsia"/>
        </w:rPr>
        <w:t>Massachusetts, Amherst, United States.</w:t>
      </w:r>
    </w:p>
    <w:p w14:paraId="4D1A978D">
      <w:pPr>
        <w:pStyle w:val="2"/>
        <w:rPr>
          <w:rFonts w:hint="eastAsia"/>
        </w:rPr>
      </w:pPr>
      <w:r>
        <w:rPr>
          <w:rFonts w:hint="eastAsia"/>
        </w:rPr>
        <w:t xml:space="preserve">(3)Division of Pulmonary &amp; Critical Care, Massachusetts General Hospital, </w:t>
      </w:r>
    </w:p>
    <w:p w14:paraId="41339914">
      <w:pPr>
        <w:pStyle w:val="2"/>
        <w:rPr>
          <w:rFonts w:hint="eastAsia"/>
        </w:rPr>
      </w:pPr>
      <w:r>
        <w:rPr>
          <w:rFonts w:hint="eastAsia"/>
        </w:rPr>
        <w:t>Boston, United States.</w:t>
      </w:r>
    </w:p>
    <w:p w14:paraId="0455178B">
      <w:pPr>
        <w:pStyle w:val="2"/>
        <w:rPr>
          <w:rFonts w:hint="eastAsia"/>
        </w:rPr>
      </w:pPr>
    </w:p>
    <w:p w14:paraId="045098CE">
      <w:pPr>
        <w:pStyle w:val="2"/>
        <w:rPr>
          <w:rFonts w:hint="eastAsia"/>
        </w:rPr>
      </w:pPr>
      <w:r>
        <w:rPr>
          <w:rFonts w:hint="eastAsia"/>
        </w:rPr>
        <w:t>Update of</w:t>
      </w:r>
    </w:p>
    <w:p w14:paraId="5A6C7D2E">
      <w:pPr>
        <w:pStyle w:val="2"/>
        <w:rPr>
          <w:rFonts w:hint="eastAsia"/>
        </w:rPr>
      </w:pPr>
      <w:r>
        <w:rPr>
          <w:rFonts w:hint="eastAsia"/>
        </w:rPr>
        <w:t xml:space="preserve">    bioRxiv. 2025 Sep 25:2025.09.23.676583. doi: 10.1101/2025.09.23.676583.</w:t>
      </w:r>
    </w:p>
    <w:p w14:paraId="27202214">
      <w:pPr>
        <w:pStyle w:val="2"/>
        <w:rPr>
          <w:rFonts w:hint="eastAsia"/>
        </w:rPr>
      </w:pPr>
    </w:p>
    <w:p w14:paraId="3406A129">
      <w:pPr>
        <w:pStyle w:val="2"/>
        <w:rPr>
          <w:rFonts w:hint="eastAsia"/>
        </w:rPr>
      </w:pPr>
      <w:r>
        <w:rPr>
          <w:rFonts w:hint="eastAsia"/>
        </w:rPr>
        <w:t xml:space="preserve">In Mycobacterium tuberculosis, a prevalent and deadly pathogen, resistance to </w:t>
      </w:r>
    </w:p>
    <w:p w14:paraId="639D62D8">
      <w:pPr>
        <w:pStyle w:val="2"/>
        <w:rPr>
          <w:rFonts w:hint="eastAsia"/>
        </w:rPr>
      </w:pPr>
      <w:r>
        <w:rPr>
          <w:rFonts w:hint="eastAsia"/>
        </w:rPr>
        <w:t xml:space="preserve">antibiotics evolves primarily through non-synonymous mutations in proteins. </w:t>
      </w:r>
    </w:p>
    <w:p w14:paraId="1E6B13F7">
      <w:pPr>
        <w:pStyle w:val="2"/>
        <w:rPr>
          <w:rFonts w:hint="eastAsia"/>
        </w:rPr>
      </w:pPr>
      <w:r>
        <w:rPr>
          <w:rFonts w:hint="eastAsia"/>
        </w:rPr>
        <w:t xml:space="preserve">Sequence-based analyses can uncover the genetic basis of antibiotic resistance, </w:t>
      </w:r>
    </w:p>
    <w:p w14:paraId="46F4B890">
      <w:pPr>
        <w:pStyle w:val="2"/>
        <w:rPr>
          <w:rFonts w:hint="eastAsia"/>
        </w:rPr>
      </w:pPr>
      <w:r>
        <w:rPr>
          <w:rFonts w:hint="eastAsia"/>
        </w:rPr>
        <w:t xml:space="preserve">but these methods focus on primary sequence and often neglect other biological </w:t>
      </w:r>
    </w:p>
    <w:p w14:paraId="44899F72">
      <w:pPr>
        <w:pStyle w:val="2"/>
        <w:rPr>
          <w:rFonts w:hint="eastAsia"/>
        </w:rPr>
      </w:pPr>
      <w:r>
        <w:rPr>
          <w:rFonts w:hint="eastAsia"/>
        </w:rPr>
        <w:t xml:space="preserve">signals, such as protein structural information. We hypothesize that integrating </w:t>
      </w:r>
    </w:p>
    <w:p w14:paraId="4B93D365">
      <w:pPr>
        <w:pStyle w:val="2"/>
        <w:rPr>
          <w:rFonts w:hint="eastAsia"/>
        </w:rPr>
      </w:pPr>
      <w:r>
        <w:rPr>
          <w:rFonts w:hint="eastAsia"/>
        </w:rPr>
        <w:t xml:space="preserve">the structural context of mutations improves the prediction of effects on </w:t>
      </w:r>
    </w:p>
    <w:p w14:paraId="077DF7A2">
      <w:pPr>
        <w:pStyle w:val="2"/>
        <w:rPr>
          <w:rFonts w:hint="eastAsia"/>
        </w:rPr>
      </w:pPr>
      <w:r>
        <w:rPr>
          <w:rFonts w:hint="eastAsia"/>
        </w:rPr>
        <w:t xml:space="preserve">function and phenotype. We curate high-confidence structural annotations for the </w:t>
      </w:r>
    </w:p>
    <w:p w14:paraId="22CA40EA">
      <w:pPr>
        <w:pStyle w:val="2"/>
        <w:rPr>
          <w:rFonts w:hint="eastAsia"/>
        </w:rPr>
      </w:pPr>
      <w:r>
        <w:rPr>
          <w:rFonts w:hint="eastAsia"/>
        </w:rPr>
        <w:t xml:space="preserve">M. tuberculosis proteome from 1350 crystallography and 2337 AlphaFold </w:t>
      </w:r>
    </w:p>
    <w:p w14:paraId="050C5512">
      <w:pPr>
        <w:pStyle w:val="2"/>
        <w:rPr>
          <w:rFonts w:hint="eastAsia"/>
        </w:rPr>
      </w:pPr>
      <w:r>
        <w:rPr>
          <w:rFonts w:hint="eastAsia"/>
        </w:rPr>
        <w:t xml:space="preserve">predictions, and mutations from over 31,000 M. tuberculosis isolates. We </w:t>
      </w:r>
    </w:p>
    <w:p w14:paraId="427CDFD1">
      <w:pPr>
        <w:pStyle w:val="2"/>
        <w:rPr>
          <w:rFonts w:hint="eastAsia"/>
        </w:rPr>
      </w:pPr>
      <w:r>
        <w:rPr>
          <w:rFonts w:hint="eastAsia"/>
        </w:rPr>
        <w:t xml:space="preserve">demonstrate that mutations in proteins known to cause resistance are clustered </w:t>
      </w:r>
    </w:p>
    <w:p w14:paraId="0D077E91">
      <w:pPr>
        <w:pStyle w:val="2"/>
        <w:rPr>
          <w:rFonts w:hint="eastAsia"/>
        </w:rPr>
      </w:pPr>
      <w:r>
        <w:rPr>
          <w:rFonts w:hint="eastAsia"/>
        </w:rPr>
        <w:t xml:space="preserve">in 3D space, even in proteins where inactivating mutations at any position are </w:t>
      </w:r>
    </w:p>
    <w:p w14:paraId="2B72A4B2">
      <w:pPr>
        <w:pStyle w:val="2"/>
        <w:rPr>
          <w:rFonts w:hint="eastAsia"/>
        </w:rPr>
      </w:pPr>
      <w:r>
        <w:rPr>
          <w:rFonts w:hint="eastAsia"/>
        </w:rPr>
        <w:t xml:space="preserve">thought to cause resistance. We find over 450 proteins in the M. tuberculosis </w:t>
      </w:r>
    </w:p>
    <w:p w14:paraId="199418D2">
      <w:pPr>
        <w:pStyle w:val="2"/>
        <w:rPr>
          <w:rFonts w:hint="eastAsia"/>
        </w:rPr>
      </w:pPr>
      <w:r>
        <w:rPr>
          <w:rFonts w:hint="eastAsia"/>
        </w:rPr>
        <w:t xml:space="preserve">proteome that display signals of clustered mutations, many of which have a known </w:t>
      </w:r>
    </w:p>
    <w:p w14:paraId="2C2ACF3A">
      <w:pPr>
        <w:pStyle w:val="2"/>
        <w:rPr>
          <w:rFonts w:hint="eastAsia"/>
        </w:rPr>
      </w:pPr>
      <w:r>
        <w:rPr>
          <w:rFonts w:hint="eastAsia"/>
        </w:rPr>
        <w:t xml:space="preserve">relationship with antibiotic resistance. We show that a supervised classifier </w:t>
      </w:r>
    </w:p>
    <w:p w14:paraId="64C610F8">
      <w:pPr>
        <w:pStyle w:val="2"/>
        <w:rPr>
          <w:rFonts w:hint="eastAsia"/>
        </w:rPr>
      </w:pPr>
      <w:r>
        <w:rPr>
          <w:rFonts w:hint="eastAsia"/>
        </w:rPr>
        <w:t xml:space="preserve">trained on 3D distance to known resistance sites alone has an F1 score of 96.5% </w:t>
      </w:r>
    </w:p>
    <w:p w14:paraId="44BAB106">
      <w:pPr>
        <w:pStyle w:val="2"/>
        <w:rPr>
          <w:rFonts w:hint="eastAsia"/>
        </w:rPr>
      </w:pPr>
      <w:r>
        <w:rPr>
          <w:rFonts w:hint="eastAsia"/>
        </w:rPr>
        <w:t xml:space="preserve">at classifying mutations as resistance-conferring on a held-out test set. This </w:t>
      </w:r>
    </w:p>
    <w:p w14:paraId="57C9EC1E">
      <w:pPr>
        <w:pStyle w:val="2"/>
        <w:rPr>
          <w:rFonts w:hint="eastAsia"/>
        </w:rPr>
      </w:pPr>
      <w:r>
        <w:rPr>
          <w:rFonts w:hint="eastAsia"/>
        </w:rPr>
        <w:t xml:space="preserve">work demonstrates that protein structure provides useful information for </w:t>
      </w:r>
    </w:p>
    <w:p w14:paraId="144A6303">
      <w:pPr>
        <w:pStyle w:val="2"/>
        <w:rPr>
          <w:rFonts w:hint="eastAsia"/>
        </w:rPr>
      </w:pPr>
      <w:r>
        <w:rPr>
          <w:rFonts w:hint="eastAsia"/>
        </w:rPr>
        <w:t xml:space="preserve">categorizing which variants may cause antibiotic resistance, even when the </w:t>
      </w:r>
    </w:p>
    <w:p w14:paraId="3A1DAB2A">
      <w:pPr>
        <w:pStyle w:val="2"/>
        <w:rPr>
          <w:rFonts w:hint="eastAsia"/>
        </w:rPr>
      </w:pPr>
      <w:r>
        <w:rPr>
          <w:rFonts w:hint="eastAsia"/>
        </w:rPr>
        <w:t>majority of structures are AI-predicted.</w:t>
      </w:r>
    </w:p>
    <w:p w14:paraId="5E95A4E0">
      <w:pPr>
        <w:pStyle w:val="2"/>
        <w:rPr>
          <w:rFonts w:hint="eastAsia"/>
        </w:rPr>
      </w:pPr>
    </w:p>
    <w:p w14:paraId="7F81611A">
      <w:pPr>
        <w:pStyle w:val="2"/>
        <w:rPr>
          <w:rFonts w:hint="eastAsia"/>
        </w:rPr>
      </w:pPr>
      <w:r>
        <w:rPr>
          <w:rFonts w:hint="eastAsia"/>
        </w:rPr>
        <w:t>© 2025, Green et al.</w:t>
      </w:r>
    </w:p>
    <w:p w14:paraId="0BA3FEB0">
      <w:pPr>
        <w:pStyle w:val="2"/>
        <w:rPr>
          <w:rFonts w:hint="eastAsia"/>
        </w:rPr>
      </w:pPr>
    </w:p>
    <w:p w14:paraId="0ADEFB36">
      <w:pPr>
        <w:pStyle w:val="2"/>
        <w:rPr>
          <w:rFonts w:hint="eastAsia"/>
        </w:rPr>
      </w:pPr>
      <w:r>
        <w:rPr>
          <w:rFonts w:hint="eastAsia"/>
        </w:rPr>
        <w:t>DOI: 10.7554/eLife.109450</w:t>
      </w:r>
    </w:p>
    <w:p w14:paraId="6BE8CC16">
      <w:pPr>
        <w:pStyle w:val="2"/>
        <w:rPr>
          <w:rFonts w:hint="eastAsia"/>
        </w:rPr>
      </w:pPr>
      <w:r>
        <w:rPr>
          <w:rFonts w:hint="eastAsia"/>
        </w:rPr>
        <w:t>PMCID: PMC13652538</w:t>
      </w:r>
    </w:p>
    <w:p w14:paraId="5D04B72B">
      <w:pPr>
        <w:pStyle w:val="2"/>
        <w:rPr>
          <w:rFonts w:hint="eastAsia"/>
        </w:rPr>
      </w:pPr>
      <w:r>
        <w:rPr>
          <w:rFonts w:hint="eastAsia"/>
        </w:rPr>
        <w:t>PMID: 42852653 [Indexed for MEDLINE]</w:t>
      </w:r>
    </w:p>
    <w:p w14:paraId="5CD6FF86">
      <w:pPr>
        <w:pStyle w:val="2"/>
        <w:rPr>
          <w:rFonts w:hint="eastAsia"/>
        </w:rPr>
      </w:pPr>
    </w:p>
    <w:p w14:paraId="41CAAA97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</w:t>
      </w:r>
      <w:r>
        <w:rPr>
          <w:rFonts w:hint="eastAsia"/>
          <w:b/>
          <w:bCs/>
          <w:color w:val="FF0000"/>
          <w:lang w:val="en-US" w:eastAsia="zh-CN"/>
        </w:rPr>
        <w:t>8</w:t>
      </w:r>
      <w:r>
        <w:rPr>
          <w:rFonts w:hint="eastAsia"/>
          <w:b/>
          <w:bCs/>
          <w:color w:val="FF0000"/>
        </w:rPr>
        <w:t>. J Glob Health. 2026 Oct 9;16:04244. doi: 10.7189/jogh.16.04244.</w:t>
      </w:r>
    </w:p>
    <w:p w14:paraId="70F5DF33">
      <w:pPr>
        <w:pStyle w:val="2"/>
        <w:rPr>
          <w:rFonts w:hint="eastAsia"/>
        </w:rPr>
      </w:pPr>
    </w:p>
    <w:p w14:paraId="20B3C299">
      <w:pPr>
        <w:pStyle w:val="2"/>
        <w:rPr>
          <w:rFonts w:hint="eastAsia"/>
        </w:rPr>
      </w:pPr>
      <w:r>
        <w:rPr>
          <w:rFonts w:hint="eastAsia"/>
        </w:rPr>
        <w:t>Diagnosis of tuberculous lymphadenopathy: the role of droplet digital PCR.</w:t>
      </w:r>
    </w:p>
    <w:p w14:paraId="2F39FEC9">
      <w:pPr>
        <w:pStyle w:val="2"/>
        <w:rPr>
          <w:rFonts w:hint="eastAsia"/>
        </w:rPr>
      </w:pPr>
    </w:p>
    <w:p w14:paraId="7CA43C52">
      <w:pPr>
        <w:pStyle w:val="2"/>
        <w:rPr>
          <w:rFonts w:hint="eastAsia"/>
        </w:rPr>
      </w:pPr>
      <w:r>
        <w:rPr>
          <w:rFonts w:hint="eastAsia"/>
        </w:rPr>
        <w:t xml:space="preserve">Wei YF(#)(1)(2), Chen CY(#)(1)(3), Wang PH(#)(4), Kuo YW(5)(6), Shu CC(7)(8), </w:t>
      </w:r>
    </w:p>
    <w:p w14:paraId="122CDB20">
      <w:pPr>
        <w:pStyle w:val="2"/>
        <w:rPr>
          <w:rFonts w:hint="eastAsia"/>
        </w:rPr>
      </w:pPr>
      <w:r>
        <w:rPr>
          <w:rFonts w:hint="eastAsia"/>
        </w:rPr>
        <w:t>Yan BS(9).</w:t>
      </w:r>
    </w:p>
    <w:p w14:paraId="09D31259">
      <w:pPr>
        <w:pStyle w:val="2"/>
        <w:rPr>
          <w:rFonts w:hint="eastAsia"/>
        </w:rPr>
      </w:pPr>
    </w:p>
    <w:p w14:paraId="7C701DF4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589BF154">
      <w:pPr>
        <w:pStyle w:val="2"/>
        <w:rPr>
          <w:rFonts w:hint="eastAsia"/>
        </w:rPr>
      </w:pPr>
      <w:r>
        <w:rPr>
          <w:rFonts w:hint="eastAsia"/>
        </w:rPr>
        <w:t xml:space="preserve">(1)School of Medicine for International Students, College of Medicine, I-Shou </w:t>
      </w:r>
    </w:p>
    <w:p w14:paraId="4964865B">
      <w:pPr>
        <w:pStyle w:val="2"/>
        <w:rPr>
          <w:rFonts w:hint="eastAsia"/>
        </w:rPr>
      </w:pPr>
      <w:r>
        <w:rPr>
          <w:rFonts w:hint="eastAsia"/>
        </w:rPr>
        <w:t>University, Kaohsiung, Taiwan.</w:t>
      </w:r>
    </w:p>
    <w:p w14:paraId="54A7A7E4">
      <w:pPr>
        <w:pStyle w:val="2"/>
        <w:rPr>
          <w:rFonts w:hint="eastAsia"/>
        </w:rPr>
      </w:pPr>
      <w:r>
        <w:rPr>
          <w:rFonts w:hint="eastAsia"/>
        </w:rPr>
        <w:t>(2)Department of Internal Medicine, E-Da Cancer Hospital, Kaohsiung, Taiwan.</w:t>
      </w:r>
    </w:p>
    <w:p w14:paraId="6F6323F1">
      <w:pPr>
        <w:pStyle w:val="2"/>
        <w:rPr>
          <w:rFonts w:hint="eastAsia"/>
        </w:rPr>
      </w:pPr>
      <w:r>
        <w:rPr>
          <w:rFonts w:hint="eastAsia"/>
        </w:rPr>
        <w:t xml:space="preserve">(3)Division of Chest Medicine, Department of Internal Medicine, E-Da Hospital, </w:t>
      </w:r>
    </w:p>
    <w:p w14:paraId="145E1AAD">
      <w:pPr>
        <w:pStyle w:val="2"/>
        <w:rPr>
          <w:rFonts w:hint="eastAsia"/>
        </w:rPr>
      </w:pPr>
      <w:r>
        <w:rPr>
          <w:rFonts w:hint="eastAsia"/>
        </w:rPr>
        <w:t>Kaohsiung, Taiwan.</w:t>
      </w:r>
    </w:p>
    <w:p w14:paraId="2AC745F7">
      <w:pPr>
        <w:pStyle w:val="2"/>
        <w:rPr>
          <w:rFonts w:hint="eastAsia"/>
        </w:rPr>
      </w:pPr>
      <w:r>
        <w:rPr>
          <w:rFonts w:hint="eastAsia"/>
        </w:rPr>
        <w:t xml:space="preserve">(4)Department of Internal Medicine, Far Eastern Memorial Hospital, New Taipei </w:t>
      </w:r>
    </w:p>
    <w:p w14:paraId="3DBB7E78">
      <w:pPr>
        <w:pStyle w:val="2"/>
        <w:rPr>
          <w:rFonts w:hint="eastAsia"/>
        </w:rPr>
      </w:pPr>
      <w:r>
        <w:rPr>
          <w:rFonts w:hint="eastAsia"/>
        </w:rPr>
        <w:t>City, Taiwan.</w:t>
      </w:r>
    </w:p>
    <w:p w14:paraId="52B03D40">
      <w:pPr>
        <w:pStyle w:val="2"/>
        <w:rPr>
          <w:rFonts w:hint="eastAsia"/>
        </w:rPr>
      </w:pPr>
      <w:r>
        <w:rPr>
          <w:rFonts w:hint="eastAsia"/>
        </w:rPr>
        <w:t xml:space="preserve">(5)Department of Integrated Diagnostics &amp; Therapeutics, National Taiwan </w:t>
      </w:r>
    </w:p>
    <w:p w14:paraId="766F85BF">
      <w:pPr>
        <w:pStyle w:val="2"/>
        <w:rPr>
          <w:rFonts w:hint="eastAsia"/>
        </w:rPr>
      </w:pPr>
      <w:r>
        <w:rPr>
          <w:rFonts w:hint="eastAsia"/>
        </w:rPr>
        <w:t>University Hospital, Taipei, Taiwan.</w:t>
      </w:r>
    </w:p>
    <w:p w14:paraId="53B0137E">
      <w:pPr>
        <w:pStyle w:val="2"/>
        <w:rPr>
          <w:rFonts w:hint="eastAsia"/>
        </w:rPr>
      </w:pPr>
      <w:r>
        <w:rPr>
          <w:rFonts w:hint="eastAsia"/>
        </w:rPr>
        <w:t xml:space="preserve">(6)Department of Internal Medicine, College of Medicine, National Taiwan </w:t>
      </w:r>
    </w:p>
    <w:p w14:paraId="532AF41F">
      <w:pPr>
        <w:pStyle w:val="2"/>
        <w:rPr>
          <w:rFonts w:hint="eastAsia"/>
        </w:rPr>
      </w:pPr>
      <w:r>
        <w:rPr>
          <w:rFonts w:hint="eastAsia"/>
        </w:rPr>
        <w:t>University, Taipei, Taiwan.</w:t>
      </w:r>
    </w:p>
    <w:p w14:paraId="435096F3">
      <w:pPr>
        <w:pStyle w:val="2"/>
        <w:rPr>
          <w:rFonts w:hint="eastAsia"/>
        </w:rPr>
      </w:pPr>
      <w:r>
        <w:rPr>
          <w:rFonts w:hint="eastAsia"/>
        </w:rPr>
        <w:t xml:space="preserve">(7)Department of Internal Medicine, National Taiwan University Hospital, Taipei, </w:t>
      </w:r>
    </w:p>
    <w:p w14:paraId="113FFFE3">
      <w:pPr>
        <w:pStyle w:val="2"/>
        <w:rPr>
          <w:rFonts w:hint="eastAsia"/>
        </w:rPr>
      </w:pPr>
      <w:r>
        <w:rPr>
          <w:rFonts w:hint="eastAsia"/>
        </w:rPr>
        <w:t>Taiwan.</w:t>
      </w:r>
    </w:p>
    <w:p w14:paraId="3571345A">
      <w:pPr>
        <w:pStyle w:val="2"/>
        <w:rPr>
          <w:rFonts w:hint="eastAsia"/>
        </w:rPr>
      </w:pPr>
      <w:r>
        <w:rPr>
          <w:rFonts w:hint="eastAsia"/>
        </w:rPr>
        <w:t xml:space="preserve">(8)Graduate Institute of Clinical Medicine, College of Medicine, National Taiwan </w:t>
      </w:r>
    </w:p>
    <w:p w14:paraId="76B9B77C">
      <w:pPr>
        <w:pStyle w:val="2"/>
        <w:rPr>
          <w:rFonts w:hint="eastAsia"/>
        </w:rPr>
      </w:pPr>
      <w:r>
        <w:rPr>
          <w:rFonts w:hint="eastAsia"/>
        </w:rPr>
        <w:t>University, Taipei, Taiwan.</w:t>
      </w:r>
    </w:p>
    <w:p w14:paraId="4F99D095">
      <w:pPr>
        <w:pStyle w:val="2"/>
        <w:rPr>
          <w:rFonts w:hint="eastAsia"/>
        </w:rPr>
      </w:pPr>
      <w:r>
        <w:rPr>
          <w:rFonts w:hint="eastAsia"/>
        </w:rPr>
        <w:t xml:space="preserve">(9)Graduate Institute of Biochemistry and Molecular Biology, College of </w:t>
      </w:r>
    </w:p>
    <w:p w14:paraId="428A6120">
      <w:pPr>
        <w:pStyle w:val="2"/>
        <w:rPr>
          <w:rFonts w:hint="eastAsia"/>
        </w:rPr>
      </w:pPr>
      <w:r>
        <w:rPr>
          <w:rFonts w:hint="eastAsia"/>
        </w:rPr>
        <w:t>Medicine, National Taiwan University, Taipei, Taiwan.</w:t>
      </w:r>
    </w:p>
    <w:p w14:paraId="7671F8F7">
      <w:pPr>
        <w:pStyle w:val="2"/>
        <w:rPr>
          <w:rFonts w:hint="eastAsia"/>
        </w:rPr>
      </w:pPr>
      <w:r>
        <w:rPr>
          <w:rFonts w:hint="eastAsia"/>
        </w:rPr>
        <w:t>(#)Contributed equally</w:t>
      </w:r>
    </w:p>
    <w:p w14:paraId="1D1C24D2">
      <w:pPr>
        <w:pStyle w:val="2"/>
        <w:rPr>
          <w:rFonts w:hint="eastAsia"/>
        </w:rPr>
      </w:pPr>
    </w:p>
    <w:p w14:paraId="1D31720B">
      <w:pPr>
        <w:pStyle w:val="2"/>
        <w:rPr>
          <w:rFonts w:hint="eastAsia"/>
        </w:rPr>
      </w:pPr>
      <w:r>
        <w:rPr>
          <w:rFonts w:hint="eastAsia"/>
          <w:b/>
          <w:bCs/>
        </w:rPr>
        <w:t>BACKGROUND:</w:t>
      </w:r>
      <w:r>
        <w:rPr>
          <w:rFonts w:hint="eastAsia"/>
        </w:rPr>
        <w:t xml:space="preserve"> Tuberculous lymphadenopathy (TB-LAP) is the most common form of </w:t>
      </w:r>
    </w:p>
    <w:p w14:paraId="7199E6F7">
      <w:pPr>
        <w:pStyle w:val="2"/>
        <w:rPr>
          <w:rFonts w:hint="eastAsia"/>
        </w:rPr>
      </w:pPr>
      <w:r>
        <w:rPr>
          <w:rFonts w:hint="eastAsia"/>
        </w:rPr>
        <w:t xml:space="preserve">extrapulmonary TB and remains diagnostically challenging due to its </w:t>
      </w:r>
    </w:p>
    <w:p w14:paraId="67A192E3">
      <w:pPr>
        <w:pStyle w:val="2"/>
        <w:rPr>
          <w:rFonts w:hint="eastAsia"/>
        </w:rPr>
      </w:pPr>
      <w:r>
        <w:rPr>
          <w:rFonts w:hint="eastAsia"/>
        </w:rPr>
        <w:t xml:space="preserve">paucibacillary nature. We evaluated the diagnostic performance of droplet </w:t>
      </w:r>
    </w:p>
    <w:p w14:paraId="29CDF063">
      <w:pPr>
        <w:pStyle w:val="2"/>
        <w:rPr>
          <w:rFonts w:hint="eastAsia"/>
        </w:rPr>
      </w:pPr>
      <w:r>
        <w:rPr>
          <w:rFonts w:hint="eastAsia"/>
        </w:rPr>
        <w:t xml:space="preserve">digital PCR (ddPCR) for detecting Mycobacterium tuberculosis (Mtb) DNA in </w:t>
      </w:r>
    </w:p>
    <w:p w14:paraId="6BDA5BA1">
      <w:pPr>
        <w:pStyle w:val="2"/>
        <w:rPr>
          <w:rFonts w:hint="eastAsia"/>
        </w:rPr>
      </w:pPr>
      <w:r>
        <w:rPr>
          <w:rFonts w:hint="eastAsia"/>
        </w:rPr>
        <w:t>formalin-fixed paraffin-embedded (FFPE) lymph node specimens.</w:t>
      </w:r>
    </w:p>
    <w:p w14:paraId="67E76E7C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METHODS: </w:t>
      </w:r>
      <w:r>
        <w:rPr>
          <w:rFonts w:hint="eastAsia"/>
        </w:rPr>
        <w:t xml:space="preserve">We retrospectively analysed 102 lymph node FFPE specimens with </w:t>
      </w:r>
    </w:p>
    <w:p w14:paraId="3AD5FA3C">
      <w:pPr>
        <w:pStyle w:val="2"/>
        <w:rPr>
          <w:rFonts w:hint="eastAsia"/>
        </w:rPr>
      </w:pPr>
      <w:r>
        <w:rPr>
          <w:rFonts w:hint="eastAsia"/>
        </w:rPr>
        <w:t xml:space="preserve">microbiologically confirmed or pathology-suspected TB-LAP. We performed ddPCR </w:t>
      </w:r>
    </w:p>
    <w:p w14:paraId="629D991E">
      <w:pPr>
        <w:pStyle w:val="2"/>
        <w:rPr>
          <w:rFonts w:hint="eastAsia"/>
        </w:rPr>
      </w:pPr>
      <w:r>
        <w:rPr>
          <w:rFonts w:hint="eastAsia"/>
        </w:rPr>
        <w:t xml:space="preserve">targeting the IS6110 gene and correlated it with pathological findings and </w:t>
      </w:r>
    </w:p>
    <w:p w14:paraId="2AA852E0">
      <w:pPr>
        <w:pStyle w:val="2"/>
        <w:rPr>
          <w:rFonts w:hint="eastAsia"/>
        </w:rPr>
      </w:pPr>
      <w:r>
        <w:rPr>
          <w:rFonts w:hint="eastAsia"/>
        </w:rPr>
        <w:t xml:space="preserve">mycobacterial culture results. Diagnostic performance was assessed using </w:t>
      </w:r>
    </w:p>
    <w:p w14:paraId="7FB5ADE5">
      <w:pPr>
        <w:pStyle w:val="2"/>
        <w:rPr>
          <w:rFonts w:hint="eastAsia"/>
        </w:rPr>
      </w:pPr>
      <w:r>
        <w:rPr>
          <w:rFonts w:hint="eastAsia"/>
        </w:rPr>
        <w:t>receiver operating characteristic analysis.</w:t>
      </w:r>
    </w:p>
    <w:p w14:paraId="31C925DB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Pathological findings included granulomatous inflammation (GI) </w:t>
      </w:r>
    </w:p>
    <w:p w14:paraId="4120883E">
      <w:pPr>
        <w:pStyle w:val="2"/>
        <w:rPr>
          <w:rFonts w:hint="eastAsia"/>
        </w:rPr>
      </w:pPr>
      <w:r>
        <w:rPr>
          <w:rFonts w:hint="eastAsia"/>
        </w:rPr>
        <w:t xml:space="preserve">(n = 67), caseating GI (CGI) (n = 22), CGI with acid-fast bacilli (AFB) (n = 7), </w:t>
      </w:r>
    </w:p>
    <w:p w14:paraId="74F789B6">
      <w:pPr>
        <w:pStyle w:val="2"/>
        <w:rPr>
          <w:rFonts w:hint="eastAsia"/>
        </w:rPr>
      </w:pPr>
      <w:r>
        <w:rPr>
          <w:rFonts w:hint="eastAsia"/>
        </w:rPr>
        <w:t xml:space="preserve">GI with AFB (n = 1), and atypical findings (n = 5). There was a graded </w:t>
      </w:r>
    </w:p>
    <w:p w14:paraId="2F4A58A1">
      <w:pPr>
        <w:pStyle w:val="2"/>
        <w:rPr>
          <w:rFonts w:hint="eastAsia"/>
        </w:rPr>
      </w:pPr>
      <w:r>
        <w:rPr>
          <w:rFonts w:hint="eastAsia"/>
        </w:rPr>
        <w:t xml:space="preserve">association between ddPCR and pathological severity (P for trend = 0.002), with </w:t>
      </w:r>
    </w:p>
    <w:p w14:paraId="0FE863CB">
      <w:pPr>
        <w:pStyle w:val="2"/>
        <w:rPr>
          <w:rFonts w:hint="eastAsia"/>
        </w:rPr>
      </w:pPr>
      <w:r>
        <w:rPr>
          <w:rFonts w:hint="eastAsia"/>
        </w:rPr>
        <w:t xml:space="preserve">the highest levels in CGI plus AFB and the lowest in non-TB-LAP cases. Mtb DNA </w:t>
      </w:r>
    </w:p>
    <w:p w14:paraId="4DA25F3F">
      <w:pPr>
        <w:pStyle w:val="2"/>
        <w:rPr>
          <w:rFonts w:hint="eastAsia"/>
        </w:rPr>
      </w:pPr>
      <w:r>
        <w:rPr>
          <w:rFonts w:hint="eastAsia"/>
        </w:rPr>
        <w:t xml:space="preserve">concentration (copies/μL) was significantly higher in AFB-positive specimens </w:t>
      </w:r>
    </w:p>
    <w:p w14:paraId="18532D5F">
      <w:pPr>
        <w:pStyle w:val="2"/>
        <w:rPr>
          <w:rFonts w:hint="eastAsia"/>
        </w:rPr>
      </w:pPr>
      <w:r>
        <w:rPr>
          <w:rFonts w:hint="eastAsia"/>
        </w:rPr>
        <w:t xml:space="preserve">(mean (x̄) = 22.9, standard deviation (SD) = 61.5) compared with AFB-negative </w:t>
      </w:r>
    </w:p>
    <w:p w14:paraId="43C8D9F9">
      <w:pPr>
        <w:pStyle w:val="2"/>
        <w:rPr>
          <w:rFonts w:hint="eastAsia"/>
        </w:rPr>
      </w:pPr>
      <w:r>
        <w:rPr>
          <w:rFonts w:hint="eastAsia"/>
        </w:rPr>
        <w:t xml:space="preserve">specimens (x̄ = 0.6, SD = 0.8) (P = 0.044). Among 52 specimens sent for </w:t>
      </w:r>
    </w:p>
    <w:p w14:paraId="4A8A0E56">
      <w:pPr>
        <w:pStyle w:val="2"/>
        <w:rPr>
          <w:rFonts w:hint="eastAsia"/>
        </w:rPr>
      </w:pPr>
      <w:r>
        <w:rPr>
          <w:rFonts w:hint="eastAsia"/>
        </w:rPr>
        <w:t xml:space="preserve">mycobacterial culture, 9 (17%) were culture-positive, and these specimens had </w:t>
      </w:r>
    </w:p>
    <w:p w14:paraId="5978D12B">
      <w:pPr>
        <w:pStyle w:val="2"/>
        <w:rPr>
          <w:rFonts w:hint="eastAsia"/>
        </w:rPr>
      </w:pPr>
      <w:r>
        <w:rPr>
          <w:rFonts w:hint="eastAsia"/>
        </w:rPr>
        <w:t xml:space="preserve">significantly higher ddPCR values (P = 0.025). Receiver operating characteristic </w:t>
      </w:r>
    </w:p>
    <w:p w14:paraId="1A227437">
      <w:pPr>
        <w:pStyle w:val="2"/>
        <w:rPr>
          <w:rFonts w:hint="eastAsia"/>
        </w:rPr>
      </w:pPr>
      <w:r>
        <w:rPr>
          <w:rFonts w:hint="eastAsia"/>
        </w:rPr>
        <w:t xml:space="preserve">analysis yielded an area under the curve of 0.715 (95% confidence </w:t>
      </w:r>
    </w:p>
    <w:p w14:paraId="3EB4C273">
      <w:pPr>
        <w:pStyle w:val="2"/>
        <w:rPr>
          <w:rFonts w:hint="eastAsia"/>
        </w:rPr>
      </w:pPr>
      <w:r>
        <w:rPr>
          <w:rFonts w:hint="eastAsia"/>
        </w:rPr>
        <w:t xml:space="preserve">interval = 0.536-0.894) for AFB positivity. Using a cutoff value of &gt;1.25 </w:t>
      </w:r>
    </w:p>
    <w:p w14:paraId="531BD276">
      <w:pPr>
        <w:pStyle w:val="2"/>
        <w:rPr>
          <w:rFonts w:hint="eastAsia"/>
        </w:rPr>
      </w:pPr>
      <w:r>
        <w:rPr>
          <w:rFonts w:hint="eastAsia"/>
        </w:rPr>
        <w:t xml:space="preserve">copies/μL resulted in 50% sensitivity and 86% specificity. Lowering the cutoff </w:t>
      </w:r>
    </w:p>
    <w:p w14:paraId="7CE1DCDC">
      <w:pPr>
        <w:pStyle w:val="2"/>
        <w:rPr>
          <w:rFonts w:hint="eastAsia"/>
        </w:rPr>
      </w:pPr>
      <w:r>
        <w:rPr>
          <w:rFonts w:hint="eastAsia"/>
        </w:rPr>
        <w:t>to &gt;0.33 copies/μL increased sensitivity to 88%, but reduced specificity to 51%.</w:t>
      </w:r>
    </w:p>
    <w:p w14:paraId="48D2A9DC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CONCLUSIONS: </w:t>
      </w:r>
      <w:r>
        <w:rPr>
          <w:rFonts w:hint="eastAsia"/>
        </w:rPr>
        <w:t xml:space="preserve">We found that ddPCR quantitatively detects Mtb DNA in lymph node </w:t>
      </w:r>
    </w:p>
    <w:p w14:paraId="31F965FD">
      <w:pPr>
        <w:pStyle w:val="2"/>
        <w:rPr>
          <w:rFonts w:hint="eastAsia"/>
        </w:rPr>
      </w:pPr>
      <w:r>
        <w:rPr>
          <w:rFonts w:hint="eastAsia"/>
        </w:rPr>
        <w:t xml:space="preserve">FFPE specimens and correlates with pathological severity and culture positivity. </w:t>
      </w:r>
    </w:p>
    <w:p w14:paraId="6560939E">
      <w:pPr>
        <w:pStyle w:val="2"/>
        <w:rPr>
          <w:rFonts w:hint="eastAsia"/>
        </w:rPr>
      </w:pPr>
      <w:r>
        <w:rPr>
          <w:rFonts w:hint="eastAsia"/>
        </w:rPr>
        <w:t xml:space="preserve">Although the overall diagnostic accuracy was moderate, ddPCR demonstrated </w:t>
      </w:r>
    </w:p>
    <w:p w14:paraId="33675C40">
      <w:pPr>
        <w:pStyle w:val="2"/>
        <w:rPr>
          <w:rFonts w:hint="eastAsia"/>
        </w:rPr>
      </w:pPr>
      <w:r>
        <w:rPr>
          <w:rFonts w:hint="eastAsia"/>
        </w:rPr>
        <w:t xml:space="preserve">distinct sensitivity and specificity profiles at different cutoff values and may </w:t>
      </w:r>
    </w:p>
    <w:p w14:paraId="5E9F44A0">
      <w:pPr>
        <w:pStyle w:val="2"/>
        <w:rPr>
          <w:rFonts w:hint="eastAsia"/>
        </w:rPr>
      </w:pPr>
      <w:r>
        <w:rPr>
          <w:rFonts w:hint="eastAsia"/>
        </w:rPr>
        <w:t xml:space="preserve">serve as a useful adjunctive diagnostic tool when interpreted in conjunction </w:t>
      </w:r>
    </w:p>
    <w:p w14:paraId="40C78CD9">
      <w:pPr>
        <w:pStyle w:val="2"/>
        <w:rPr>
          <w:rFonts w:hint="eastAsia"/>
        </w:rPr>
      </w:pPr>
      <w:r>
        <w:rPr>
          <w:rFonts w:hint="eastAsia"/>
        </w:rPr>
        <w:t>with clinical and histopathological findings in TB-LAP.</w:t>
      </w:r>
    </w:p>
    <w:p w14:paraId="5BE87F0D">
      <w:pPr>
        <w:pStyle w:val="2"/>
        <w:rPr>
          <w:rFonts w:hint="eastAsia"/>
        </w:rPr>
      </w:pPr>
    </w:p>
    <w:p w14:paraId="527868AC">
      <w:pPr>
        <w:pStyle w:val="2"/>
        <w:rPr>
          <w:rFonts w:hint="eastAsia"/>
        </w:rPr>
      </w:pPr>
      <w:r>
        <w:rPr>
          <w:rFonts w:hint="eastAsia"/>
        </w:rPr>
        <w:t>© 2026 The Authors.</w:t>
      </w:r>
    </w:p>
    <w:p w14:paraId="0C00E3ED">
      <w:pPr>
        <w:pStyle w:val="2"/>
        <w:rPr>
          <w:rFonts w:hint="eastAsia"/>
        </w:rPr>
      </w:pPr>
    </w:p>
    <w:p w14:paraId="178CF006">
      <w:pPr>
        <w:pStyle w:val="2"/>
        <w:rPr>
          <w:rFonts w:hint="eastAsia"/>
        </w:rPr>
      </w:pPr>
      <w:r>
        <w:rPr>
          <w:rFonts w:hint="eastAsia"/>
        </w:rPr>
        <w:t>DOI: 10.7189/jogh.16.04244</w:t>
      </w:r>
    </w:p>
    <w:p w14:paraId="1F5AF78A">
      <w:pPr>
        <w:pStyle w:val="2"/>
        <w:rPr>
          <w:rFonts w:hint="eastAsia"/>
        </w:rPr>
      </w:pPr>
      <w:r>
        <w:rPr>
          <w:rFonts w:hint="eastAsia"/>
        </w:rPr>
        <w:t>PMCID: PMC13650971</w:t>
      </w:r>
    </w:p>
    <w:p w14:paraId="66D2260F">
      <w:pPr>
        <w:pStyle w:val="2"/>
        <w:rPr>
          <w:rFonts w:hint="eastAsia"/>
        </w:rPr>
      </w:pPr>
      <w:r>
        <w:rPr>
          <w:rFonts w:hint="eastAsia"/>
        </w:rPr>
        <w:t>PMID: 42852602 [Indexed for MEDLINE]</w:t>
      </w:r>
    </w:p>
    <w:p w14:paraId="20018DFD">
      <w:pPr>
        <w:pStyle w:val="2"/>
        <w:rPr>
          <w:rFonts w:hint="eastAsia"/>
        </w:rPr>
      </w:pPr>
    </w:p>
    <w:p w14:paraId="0590AD44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19</w:t>
      </w:r>
      <w:r>
        <w:rPr>
          <w:rFonts w:hint="eastAsia"/>
          <w:b/>
          <w:bCs/>
          <w:color w:val="FF0000"/>
        </w:rPr>
        <w:t xml:space="preserve">. BMJ Public Health. 2026 Oct 5;4(4):e004957. doi: 10.1136/bmjph-2026-004957. </w:t>
      </w:r>
    </w:p>
    <w:p w14:paraId="01CD0EBE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2026.</w:t>
      </w:r>
    </w:p>
    <w:p w14:paraId="6C0A724B">
      <w:pPr>
        <w:pStyle w:val="2"/>
        <w:rPr>
          <w:rFonts w:hint="eastAsia"/>
        </w:rPr>
      </w:pPr>
    </w:p>
    <w:p w14:paraId="45466AC8">
      <w:pPr>
        <w:pStyle w:val="2"/>
        <w:rPr>
          <w:rFonts w:hint="eastAsia"/>
        </w:rPr>
      </w:pPr>
      <w:r>
        <w:rPr>
          <w:rFonts w:hint="eastAsia"/>
        </w:rPr>
        <w:t xml:space="preserve">Implementation of next-generation sequencing to guide care and public health </w:t>
      </w:r>
    </w:p>
    <w:p w14:paraId="6094B8F9">
      <w:pPr>
        <w:pStyle w:val="2"/>
        <w:rPr>
          <w:rFonts w:hint="eastAsia"/>
        </w:rPr>
      </w:pPr>
      <w:r>
        <w:rPr>
          <w:rFonts w:hint="eastAsia"/>
        </w:rPr>
        <w:t xml:space="preserve">action in settings with high burden of rifampicin-resistant tuberculosis: 32 </w:t>
      </w:r>
    </w:p>
    <w:p w14:paraId="3F062962">
      <w:pPr>
        <w:pStyle w:val="2"/>
        <w:rPr>
          <w:rFonts w:hint="eastAsia"/>
        </w:rPr>
      </w:pPr>
      <w:r>
        <w:rPr>
          <w:rFonts w:hint="eastAsia"/>
        </w:rPr>
        <w:t>stakeholder consensus statements generated using Delphi principles.</w:t>
      </w:r>
    </w:p>
    <w:p w14:paraId="527E6C04">
      <w:pPr>
        <w:pStyle w:val="2"/>
        <w:rPr>
          <w:rFonts w:hint="eastAsia"/>
        </w:rPr>
      </w:pPr>
    </w:p>
    <w:p w14:paraId="68A913AD">
      <w:pPr>
        <w:pStyle w:val="2"/>
        <w:rPr>
          <w:rFonts w:hint="eastAsia"/>
        </w:rPr>
      </w:pPr>
      <w:r>
        <w:rPr>
          <w:rFonts w:hint="eastAsia"/>
        </w:rPr>
        <w:t xml:space="preserve">Dippenaar A(1), Rennie V(1), Perumal R(2)(3), Lange C(4)(5), Rich ML(6), </w:t>
      </w:r>
    </w:p>
    <w:p w14:paraId="7BA49C7B">
      <w:pPr>
        <w:pStyle w:val="2"/>
        <w:rPr>
          <w:rFonts w:hint="eastAsia"/>
        </w:rPr>
      </w:pPr>
      <w:r>
        <w:rPr>
          <w:rFonts w:hint="eastAsia"/>
        </w:rPr>
        <w:t xml:space="preserve">Abubakirov A(7), Ashesh A(8), Conceicao EC(9), Cox H(10)(11), de Diego Fuertes </w:t>
      </w:r>
    </w:p>
    <w:p w14:paraId="4545ED85">
      <w:pPr>
        <w:pStyle w:val="2"/>
        <w:rPr>
          <w:rFonts w:hint="eastAsia"/>
        </w:rPr>
      </w:pPr>
      <w:r>
        <w:rPr>
          <w:rFonts w:hint="eastAsia"/>
        </w:rPr>
        <w:t xml:space="preserve">M(1), Keneilwe Eyde L(12)(13), Günther G(14)(15), Grobbelaar M(9), Heupink </w:t>
      </w:r>
    </w:p>
    <w:p w14:paraId="59011DCF">
      <w:pPr>
        <w:pStyle w:val="2"/>
        <w:rPr>
          <w:rFonts w:hint="eastAsia"/>
        </w:rPr>
      </w:pPr>
      <w:r>
        <w:rPr>
          <w:rFonts w:hint="eastAsia"/>
        </w:rPr>
        <w:t xml:space="preserve">TH(1), Howell P(16), Ismail F(17), Ismail N(9), Kherabi Y(18), Klopper M(9), </w:t>
      </w:r>
    </w:p>
    <w:p w14:paraId="54194012">
      <w:pPr>
        <w:pStyle w:val="2"/>
        <w:rPr>
          <w:rFonts w:hint="eastAsia"/>
        </w:rPr>
      </w:pPr>
      <w:r>
        <w:rPr>
          <w:rFonts w:hint="eastAsia"/>
        </w:rPr>
        <w:t xml:space="preserve">Kock Y(19), Kunda MK(20), Loubser J(21), Maru S(22), Mann B(9), Malherbe ST(23), </w:t>
      </w:r>
    </w:p>
    <w:p w14:paraId="05CA0092">
      <w:pPr>
        <w:pStyle w:val="2"/>
        <w:rPr>
          <w:rFonts w:hint="eastAsia"/>
        </w:rPr>
      </w:pPr>
      <w:r>
        <w:rPr>
          <w:rFonts w:hint="eastAsia"/>
        </w:rPr>
        <w:t xml:space="preserve">Mohr-Holland E(24), Mutaquiha C(25)(26), Ndebele F(27), Nkomo T(28), Oyewusi </w:t>
      </w:r>
    </w:p>
    <w:p w14:paraId="67D1EB5B">
      <w:pPr>
        <w:pStyle w:val="2"/>
        <w:rPr>
          <w:rFonts w:hint="eastAsia"/>
        </w:rPr>
      </w:pPr>
      <w:r>
        <w:rPr>
          <w:rFonts w:hint="eastAsia"/>
        </w:rPr>
        <w:t xml:space="preserve">L(20), Reuter A(29), Stambekova A(7), Hunter FB(30), Udwadia Z(31), Furin J(32), </w:t>
      </w:r>
    </w:p>
    <w:p w14:paraId="4B246696">
      <w:pPr>
        <w:pStyle w:val="2"/>
        <w:rPr>
          <w:rFonts w:hint="eastAsia"/>
        </w:rPr>
      </w:pPr>
      <w:r>
        <w:rPr>
          <w:rFonts w:hint="eastAsia"/>
        </w:rPr>
        <w:t>de Oliveira T(33), Warren RM(33), Van Rie A(1).</w:t>
      </w:r>
    </w:p>
    <w:p w14:paraId="2BCA774F">
      <w:pPr>
        <w:pStyle w:val="2"/>
        <w:rPr>
          <w:rFonts w:hint="eastAsia"/>
        </w:rPr>
      </w:pPr>
    </w:p>
    <w:p w14:paraId="17FBA201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763D156A">
      <w:pPr>
        <w:pStyle w:val="2"/>
        <w:rPr>
          <w:rFonts w:hint="eastAsia"/>
        </w:rPr>
      </w:pPr>
      <w:r>
        <w:rPr>
          <w:rFonts w:hint="eastAsia"/>
        </w:rPr>
        <w:t xml:space="preserve">(1)Global Health Institute, Faculty of Medicine and Health Sciences, University </w:t>
      </w:r>
    </w:p>
    <w:p w14:paraId="29824475">
      <w:pPr>
        <w:pStyle w:val="2"/>
        <w:rPr>
          <w:rFonts w:hint="eastAsia"/>
        </w:rPr>
      </w:pPr>
      <w:r>
        <w:rPr>
          <w:rFonts w:hint="eastAsia"/>
        </w:rPr>
        <w:t>of Antwerp, Antwerp, Belgium.</w:t>
      </w:r>
    </w:p>
    <w:p w14:paraId="2546F059">
      <w:pPr>
        <w:pStyle w:val="2"/>
        <w:rPr>
          <w:rFonts w:hint="eastAsia"/>
        </w:rPr>
      </w:pPr>
      <w:r>
        <w:rPr>
          <w:rFonts w:hint="eastAsia"/>
        </w:rPr>
        <w:t xml:space="preserve">(2)Medical Research Council-CAPRISA HIV-TB Pathogenesis and Treatment Research </w:t>
      </w:r>
    </w:p>
    <w:p w14:paraId="117C2B26">
      <w:pPr>
        <w:pStyle w:val="2"/>
        <w:rPr>
          <w:rFonts w:hint="eastAsia"/>
        </w:rPr>
      </w:pPr>
      <w:r>
        <w:rPr>
          <w:rFonts w:hint="eastAsia"/>
        </w:rPr>
        <w:t xml:space="preserve">Unit, Centre for the AIDS Programme of Research in South Africa, University of </w:t>
      </w:r>
    </w:p>
    <w:p w14:paraId="5BA727D5">
      <w:pPr>
        <w:pStyle w:val="2"/>
        <w:rPr>
          <w:rFonts w:hint="eastAsia"/>
        </w:rPr>
      </w:pPr>
      <w:r>
        <w:rPr>
          <w:rFonts w:hint="eastAsia"/>
        </w:rPr>
        <w:t>KwaZulu-Natal, Durban, KZN, South Africa.</w:t>
      </w:r>
    </w:p>
    <w:p w14:paraId="6B9C2A64">
      <w:pPr>
        <w:pStyle w:val="2"/>
        <w:rPr>
          <w:rFonts w:hint="eastAsia"/>
        </w:rPr>
      </w:pPr>
      <w:r>
        <w:rPr>
          <w:rFonts w:hint="eastAsia"/>
        </w:rPr>
        <w:t xml:space="preserve">(3)Department of Pulmonology and Critical Care, School of Medicine, University </w:t>
      </w:r>
    </w:p>
    <w:p w14:paraId="0E5A2DB0">
      <w:pPr>
        <w:pStyle w:val="2"/>
        <w:rPr>
          <w:rFonts w:hint="eastAsia"/>
        </w:rPr>
      </w:pPr>
      <w:r>
        <w:rPr>
          <w:rFonts w:hint="eastAsia"/>
        </w:rPr>
        <w:t>of KwaZulu-Natal, Durban, KZN, South Africa.</w:t>
      </w:r>
    </w:p>
    <w:p w14:paraId="3B289DD1">
      <w:pPr>
        <w:pStyle w:val="2"/>
        <w:rPr>
          <w:rFonts w:hint="eastAsia"/>
        </w:rPr>
      </w:pPr>
      <w:r>
        <w:rPr>
          <w:rFonts w:hint="eastAsia"/>
        </w:rPr>
        <w:t xml:space="preserve">(4)Clinical Infectious Diseases Department, Research Center Borstel, Germany; </w:t>
      </w:r>
    </w:p>
    <w:p w14:paraId="3DA34C6D">
      <w:pPr>
        <w:pStyle w:val="2"/>
        <w:rPr>
          <w:rFonts w:hint="eastAsia"/>
        </w:rPr>
      </w:pPr>
      <w:r>
        <w:rPr>
          <w:rFonts w:hint="eastAsia"/>
        </w:rPr>
        <w:t xml:space="preserve">Clinical Tuberculosis Unit, German Center for Infection Research </w:t>
      </w:r>
    </w:p>
    <w:p w14:paraId="2B04E5A2">
      <w:pPr>
        <w:pStyle w:val="2"/>
        <w:rPr>
          <w:rFonts w:hint="eastAsia"/>
        </w:rPr>
      </w:pPr>
      <w:r>
        <w:rPr>
          <w:rFonts w:hint="eastAsia"/>
        </w:rPr>
        <w:t>Hamburg-Lübeck-Borstel-Riems Site, Hamburg, Germany.</w:t>
      </w:r>
    </w:p>
    <w:p w14:paraId="35093B23">
      <w:pPr>
        <w:pStyle w:val="2"/>
        <w:rPr>
          <w:rFonts w:hint="eastAsia"/>
        </w:rPr>
      </w:pPr>
      <w:r>
        <w:rPr>
          <w:rFonts w:hint="eastAsia"/>
        </w:rPr>
        <w:t xml:space="preserve">(5)Respiratory Medicine &amp; International Health, University of Lübeck, Lübeck, </w:t>
      </w:r>
    </w:p>
    <w:p w14:paraId="279F1C9A">
      <w:pPr>
        <w:pStyle w:val="2"/>
        <w:rPr>
          <w:rFonts w:hint="eastAsia"/>
        </w:rPr>
      </w:pPr>
      <w:r>
        <w:rPr>
          <w:rFonts w:hint="eastAsia"/>
        </w:rPr>
        <w:t>SH, Germany.</w:t>
      </w:r>
    </w:p>
    <w:p w14:paraId="6EB5393C">
      <w:pPr>
        <w:pStyle w:val="2"/>
        <w:rPr>
          <w:rFonts w:hint="eastAsia"/>
        </w:rPr>
      </w:pPr>
      <w:r>
        <w:rPr>
          <w:rFonts w:hint="eastAsia"/>
        </w:rPr>
        <w:t xml:space="preserve">(6)Division of Global Health Equity, Partners In Health, Boston, Massachusetts, </w:t>
      </w:r>
    </w:p>
    <w:p w14:paraId="7560AB7B">
      <w:pPr>
        <w:pStyle w:val="2"/>
        <w:rPr>
          <w:rFonts w:hint="eastAsia"/>
        </w:rPr>
      </w:pPr>
      <w:r>
        <w:rPr>
          <w:rFonts w:hint="eastAsia"/>
        </w:rPr>
        <w:t>USA.</w:t>
      </w:r>
    </w:p>
    <w:p w14:paraId="7BEF118C">
      <w:pPr>
        <w:pStyle w:val="2"/>
        <w:rPr>
          <w:rFonts w:hint="eastAsia"/>
        </w:rPr>
      </w:pPr>
      <w:r>
        <w:rPr>
          <w:rFonts w:hint="eastAsia"/>
        </w:rPr>
        <w:t>(7)Partners in Health, Almaty, Kazakhstan.</w:t>
      </w:r>
    </w:p>
    <w:p w14:paraId="17D26257">
      <w:pPr>
        <w:pStyle w:val="2"/>
        <w:rPr>
          <w:rFonts w:hint="eastAsia"/>
        </w:rPr>
      </w:pPr>
      <w:r>
        <w:rPr>
          <w:rFonts w:hint="eastAsia"/>
        </w:rPr>
        <w:t>(8)Survivors Against TB, New Delhi, DL, India.</w:t>
      </w:r>
    </w:p>
    <w:p w14:paraId="396894FD">
      <w:pPr>
        <w:pStyle w:val="2"/>
        <w:rPr>
          <w:rFonts w:hint="eastAsia"/>
        </w:rPr>
      </w:pPr>
      <w:r>
        <w:rPr>
          <w:rFonts w:hint="eastAsia"/>
        </w:rPr>
        <w:t xml:space="preserve">(9)SAMRC Centre for Tuberculosis Research, Division of Molecular Biology and </w:t>
      </w:r>
    </w:p>
    <w:p w14:paraId="384514D6">
      <w:pPr>
        <w:pStyle w:val="2"/>
        <w:rPr>
          <w:rFonts w:hint="eastAsia"/>
        </w:rPr>
      </w:pPr>
      <w:r>
        <w:rPr>
          <w:rFonts w:hint="eastAsia"/>
        </w:rPr>
        <w:t xml:space="preserve">Human Genetics, Faculty of Medicine and Health Sciences, University of </w:t>
      </w:r>
    </w:p>
    <w:p w14:paraId="6E662505">
      <w:pPr>
        <w:pStyle w:val="2"/>
        <w:rPr>
          <w:rFonts w:hint="eastAsia"/>
        </w:rPr>
      </w:pPr>
      <w:r>
        <w:rPr>
          <w:rFonts w:hint="eastAsia"/>
        </w:rPr>
        <w:t>Stellenbosch, Stellenbosch, WC, South Africa.</w:t>
      </w:r>
    </w:p>
    <w:p w14:paraId="282DAE64">
      <w:pPr>
        <w:pStyle w:val="2"/>
        <w:rPr>
          <w:rFonts w:hint="eastAsia"/>
        </w:rPr>
      </w:pPr>
      <w:r>
        <w:rPr>
          <w:rFonts w:hint="eastAsia"/>
        </w:rPr>
        <w:t>(10)Burnet Institute, Melbourne, Victoria, Australia.</w:t>
      </w:r>
    </w:p>
    <w:p w14:paraId="18AE4DA8">
      <w:pPr>
        <w:pStyle w:val="2"/>
        <w:rPr>
          <w:rFonts w:hint="eastAsia"/>
        </w:rPr>
      </w:pPr>
      <w:r>
        <w:rPr>
          <w:rFonts w:hint="eastAsia"/>
        </w:rPr>
        <w:t xml:space="preserve">(11)University of Cape Town Institute of Infectious Disease and Molecular </w:t>
      </w:r>
    </w:p>
    <w:p w14:paraId="4556FBE0">
      <w:pPr>
        <w:pStyle w:val="2"/>
        <w:rPr>
          <w:rFonts w:hint="eastAsia"/>
        </w:rPr>
      </w:pPr>
      <w:r>
        <w:rPr>
          <w:rFonts w:hint="eastAsia"/>
        </w:rPr>
        <w:t>Medicine, Rondebosch, WC, South Africa.</w:t>
      </w:r>
    </w:p>
    <w:p w14:paraId="6AEB9D28">
      <w:pPr>
        <w:pStyle w:val="2"/>
        <w:rPr>
          <w:rFonts w:hint="eastAsia"/>
        </w:rPr>
      </w:pPr>
      <w:r>
        <w:rPr>
          <w:rFonts w:hint="eastAsia"/>
        </w:rPr>
        <w:t xml:space="preserve">(12)Sustainable Access Platform for Affordable Medicines and Devices (SAPAM), </w:t>
      </w:r>
    </w:p>
    <w:p w14:paraId="5A2C3F14">
      <w:pPr>
        <w:pStyle w:val="2"/>
        <w:rPr>
          <w:rFonts w:hint="eastAsia"/>
        </w:rPr>
      </w:pPr>
      <w:r>
        <w:rPr>
          <w:rFonts w:hint="eastAsia"/>
        </w:rPr>
        <w:t>Parktown, South Africa.</w:t>
      </w:r>
    </w:p>
    <w:p w14:paraId="5E6138AD">
      <w:pPr>
        <w:pStyle w:val="2"/>
        <w:rPr>
          <w:rFonts w:hint="eastAsia"/>
        </w:rPr>
      </w:pPr>
      <w:r>
        <w:rPr>
          <w:rFonts w:hint="eastAsia"/>
        </w:rPr>
        <w:t>(13)Faculty of Law, University of Cape Town, Rondebosch, WC, South Africa.</w:t>
      </w:r>
    </w:p>
    <w:p w14:paraId="22FC4C82">
      <w:pPr>
        <w:pStyle w:val="2"/>
        <w:rPr>
          <w:rFonts w:hint="eastAsia"/>
        </w:rPr>
      </w:pPr>
      <w:r>
        <w:rPr>
          <w:rFonts w:hint="eastAsia"/>
        </w:rPr>
        <w:t xml:space="preserve">(14)Department of Pulmonology, Inselspital Universitätsspital Bern, Bern, BE, </w:t>
      </w:r>
    </w:p>
    <w:p w14:paraId="4AB7B57A">
      <w:pPr>
        <w:pStyle w:val="2"/>
        <w:rPr>
          <w:rFonts w:hint="eastAsia"/>
        </w:rPr>
      </w:pPr>
      <w:r>
        <w:rPr>
          <w:rFonts w:hint="eastAsia"/>
        </w:rPr>
        <w:t>Switzerland.</w:t>
      </w:r>
    </w:p>
    <w:p w14:paraId="115BD8CF">
      <w:pPr>
        <w:pStyle w:val="2"/>
        <w:rPr>
          <w:rFonts w:hint="eastAsia"/>
        </w:rPr>
      </w:pPr>
      <w:r>
        <w:rPr>
          <w:rFonts w:hint="eastAsia"/>
        </w:rPr>
        <w:t>(15)Katutura State Hospital, Windhoek, Khomas Region, Namibia.</w:t>
      </w:r>
    </w:p>
    <w:p w14:paraId="526EE5F5">
      <w:pPr>
        <w:pStyle w:val="2"/>
        <w:rPr>
          <w:rFonts w:hint="eastAsia"/>
        </w:rPr>
      </w:pPr>
      <w:r>
        <w:rPr>
          <w:rFonts w:hint="eastAsia"/>
        </w:rPr>
        <w:t xml:space="preserve">(16)Clinical HIV Research Unit (CHRU), Faculty of Health Sciences, Wits </w:t>
      </w:r>
    </w:p>
    <w:p w14:paraId="01062FD6">
      <w:pPr>
        <w:pStyle w:val="2"/>
        <w:rPr>
          <w:rFonts w:hint="eastAsia"/>
        </w:rPr>
      </w:pPr>
      <w:r>
        <w:rPr>
          <w:rFonts w:hint="eastAsia"/>
        </w:rPr>
        <w:t>University Faculty of Health Sciences, Johannesburg, GP, South Africa.</w:t>
      </w:r>
    </w:p>
    <w:p w14:paraId="0DD7E867">
      <w:pPr>
        <w:pStyle w:val="2"/>
        <w:rPr>
          <w:rFonts w:hint="eastAsia"/>
        </w:rPr>
      </w:pPr>
      <w:r>
        <w:rPr>
          <w:rFonts w:hint="eastAsia"/>
        </w:rPr>
        <w:t xml:space="preserve">(17)Centre for Tuberculosis, National Institute for Communicable Diseases, </w:t>
      </w:r>
    </w:p>
    <w:p w14:paraId="0A2CDB12">
      <w:pPr>
        <w:pStyle w:val="2"/>
        <w:rPr>
          <w:rFonts w:hint="eastAsia"/>
        </w:rPr>
      </w:pPr>
      <w:r>
        <w:rPr>
          <w:rFonts w:hint="eastAsia"/>
        </w:rPr>
        <w:t>National Health Laboratory Service, Johannesburg, GP, South Africa.</w:t>
      </w:r>
    </w:p>
    <w:p w14:paraId="6669DD1A">
      <w:pPr>
        <w:pStyle w:val="2"/>
        <w:rPr>
          <w:rFonts w:hint="eastAsia"/>
        </w:rPr>
      </w:pPr>
      <w:r>
        <w:rPr>
          <w:rFonts w:hint="eastAsia"/>
        </w:rPr>
        <w:t xml:space="preserve">(18)Infectious and Tropical Diseases Department, Hospital Bichat - </w:t>
      </w:r>
    </w:p>
    <w:p w14:paraId="10EEE1A2">
      <w:pPr>
        <w:pStyle w:val="2"/>
        <w:rPr>
          <w:rFonts w:hint="eastAsia"/>
        </w:rPr>
      </w:pPr>
      <w:r>
        <w:rPr>
          <w:rFonts w:hint="eastAsia"/>
        </w:rPr>
        <w:t>Claude-Bernard, Paris, Île-de-France, France.</w:t>
      </w:r>
    </w:p>
    <w:p w14:paraId="27651B1B">
      <w:pPr>
        <w:pStyle w:val="2"/>
        <w:rPr>
          <w:rFonts w:hint="eastAsia"/>
        </w:rPr>
      </w:pPr>
      <w:r>
        <w:rPr>
          <w:rFonts w:hint="eastAsia"/>
        </w:rPr>
        <w:t>(19)South Africa National Department of Health, Pretoria, GP, South Africa.</w:t>
      </w:r>
    </w:p>
    <w:p w14:paraId="6FE84382">
      <w:pPr>
        <w:pStyle w:val="2"/>
        <w:rPr>
          <w:rFonts w:hint="eastAsia"/>
        </w:rPr>
      </w:pPr>
      <w:r>
        <w:rPr>
          <w:rFonts w:hint="eastAsia"/>
        </w:rPr>
        <w:t>(20)Partners In Health, Maseru, Lesotho.</w:t>
      </w:r>
    </w:p>
    <w:p w14:paraId="22B6C0F6">
      <w:pPr>
        <w:pStyle w:val="2"/>
        <w:rPr>
          <w:rFonts w:hint="eastAsia"/>
        </w:rPr>
      </w:pPr>
      <w:r>
        <w:rPr>
          <w:rFonts w:hint="eastAsia"/>
        </w:rPr>
        <w:t xml:space="preserve">(21)Biomedical Sciences, Stellenbosch University Faculty of Medicine and Health </w:t>
      </w:r>
    </w:p>
    <w:p w14:paraId="39099CC1">
      <w:pPr>
        <w:pStyle w:val="2"/>
        <w:rPr>
          <w:rFonts w:hint="eastAsia"/>
        </w:rPr>
      </w:pPr>
      <w:r>
        <w:rPr>
          <w:rFonts w:hint="eastAsia"/>
        </w:rPr>
        <w:t>Sciences, Cape Town, South Africa.</w:t>
      </w:r>
    </w:p>
    <w:p w14:paraId="28A1F37C">
      <w:pPr>
        <w:pStyle w:val="2"/>
        <w:rPr>
          <w:rFonts w:hint="eastAsia"/>
        </w:rPr>
      </w:pPr>
      <w:r>
        <w:rPr>
          <w:rFonts w:hint="eastAsia"/>
        </w:rPr>
        <w:t xml:space="preserve">(22)NYC Department of Health and Mental Hygiene, long island city, New York, </w:t>
      </w:r>
    </w:p>
    <w:p w14:paraId="6CC24074">
      <w:pPr>
        <w:pStyle w:val="2"/>
        <w:rPr>
          <w:rFonts w:hint="eastAsia"/>
        </w:rPr>
      </w:pPr>
      <w:r>
        <w:rPr>
          <w:rFonts w:hint="eastAsia"/>
        </w:rPr>
        <w:t>USA.</w:t>
      </w:r>
    </w:p>
    <w:p w14:paraId="71B0FF88">
      <w:pPr>
        <w:pStyle w:val="2"/>
        <w:rPr>
          <w:rFonts w:hint="eastAsia"/>
        </w:rPr>
      </w:pPr>
      <w:r>
        <w:rPr>
          <w:rFonts w:hint="eastAsia"/>
        </w:rPr>
        <w:t>(23)Biomedical Sciences, University of Stellenbosch, Stellenbosch, South Africa.</w:t>
      </w:r>
    </w:p>
    <w:p w14:paraId="75F57650">
      <w:pPr>
        <w:pStyle w:val="2"/>
        <w:rPr>
          <w:rFonts w:hint="eastAsia"/>
        </w:rPr>
      </w:pPr>
      <w:r>
        <w:rPr>
          <w:rFonts w:hint="eastAsia"/>
        </w:rPr>
        <w:t xml:space="preserve">(24)Specialised Health, Epidemiology Unit, City of Cape Town Health Department, </w:t>
      </w:r>
    </w:p>
    <w:p w14:paraId="21BBAD88">
      <w:pPr>
        <w:pStyle w:val="2"/>
        <w:rPr>
          <w:rFonts w:hint="eastAsia"/>
        </w:rPr>
      </w:pPr>
      <w:r>
        <w:rPr>
          <w:rFonts w:hint="eastAsia"/>
        </w:rPr>
        <w:t>Cape Town, South Africa.</w:t>
      </w:r>
    </w:p>
    <w:p w14:paraId="1496BA26">
      <w:pPr>
        <w:pStyle w:val="2"/>
        <w:rPr>
          <w:rFonts w:hint="eastAsia"/>
        </w:rPr>
      </w:pPr>
      <w:r>
        <w:rPr>
          <w:rFonts w:hint="eastAsia"/>
        </w:rPr>
        <w:t>(25)The Mozambican National Tuberculosis Program, Maputo, Mozambique.</w:t>
      </w:r>
    </w:p>
    <w:p w14:paraId="799F6E5A">
      <w:pPr>
        <w:pStyle w:val="2"/>
        <w:rPr>
          <w:rFonts w:hint="eastAsia"/>
        </w:rPr>
      </w:pPr>
      <w:r>
        <w:rPr>
          <w:rFonts w:hint="eastAsia"/>
        </w:rPr>
        <w:t xml:space="preserve">(26)Universidade Nova de Lisboa Instituto de Higiene e Medicina Tropical, </w:t>
      </w:r>
    </w:p>
    <w:p w14:paraId="6763E6C5">
      <w:pPr>
        <w:pStyle w:val="2"/>
        <w:rPr>
          <w:rFonts w:hint="eastAsia"/>
        </w:rPr>
      </w:pPr>
      <w:r>
        <w:rPr>
          <w:rFonts w:hint="eastAsia"/>
        </w:rPr>
        <w:t>Lisbon, Lisbon, Portugal.</w:t>
      </w:r>
    </w:p>
    <w:p w14:paraId="4D8AEEC7">
      <w:pPr>
        <w:pStyle w:val="2"/>
        <w:rPr>
          <w:rFonts w:hint="eastAsia"/>
        </w:rPr>
      </w:pPr>
      <w:r>
        <w:rPr>
          <w:rFonts w:hint="eastAsia"/>
        </w:rPr>
        <w:t>(27)The Aurum Institute, Parktown, GP, South Africa.</w:t>
      </w:r>
    </w:p>
    <w:p w14:paraId="33BEE20D">
      <w:pPr>
        <w:pStyle w:val="2"/>
        <w:rPr>
          <w:rFonts w:hint="eastAsia"/>
        </w:rPr>
      </w:pPr>
      <w:r>
        <w:rPr>
          <w:rFonts w:hint="eastAsia"/>
        </w:rPr>
        <w:t>(28)National TB Control Program, Eswatini Ministry of Health, Manzini, Eswatini.</w:t>
      </w:r>
    </w:p>
    <w:p w14:paraId="233664B1">
      <w:pPr>
        <w:pStyle w:val="2"/>
        <w:rPr>
          <w:rFonts w:hint="eastAsia"/>
        </w:rPr>
      </w:pPr>
      <w:r>
        <w:rPr>
          <w:rFonts w:hint="eastAsia"/>
        </w:rPr>
        <w:t xml:space="preserve">(29)DST/NRF Centre of Excellence for Biomedical Tuberculosis Research; South </w:t>
      </w:r>
    </w:p>
    <w:p w14:paraId="572ACB2F">
      <w:pPr>
        <w:pStyle w:val="2"/>
        <w:rPr>
          <w:rFonts w:hint="eastAsia"/>
        </w:rPr>
      </w:pPr>
      <w:r>
        <w:rPr>
          <w:rFonts w:hint="eastAsia"/>
        </w:rPr>
        <w:t xml:space="preserve">African Medical Research Council Centre for Tuberculosis Research; Division of </w:t>
      </w:r>
    </w:p>
    <w:p w14:paraId="66F3BF67">
      <w:pPr>
        <w:pStyle w:val="2"/>
        <w:rPr>
          <w:rFonts w:hint="eastAsia"/>
        </w:rPr>
      </w:pPr>
      <w:r>
        <w:rPr>
          <w:rFonts w:hint="eastAsia"/>
        </w:rPr>
        <w:t xml:space="preserve">Immunology, Department of Biomedical Sciences, Faculty of Medicine and Health </w:t>
      </w:r>
    </w:p>
    <w:p w14:paraId="74763938">
      <w:pPr>
        <w:pStyle w:val="2"/>
        <w:rPr>
          <w:rFonts w:hint="eastAsia"/>
        </w:rPr>
      </w:pPr>
      <w:r>
        <w:rPr>
          <w:rFonts w:hint="eastAsia"/>
        </w:rPr>
        <w:t>Sciences, University of Stellenbosch, Stellenbosch, WC, South Africa.</w:t>
      </w:r>
    </w:p>
    <w:p w14:paraId="2AD434C8">
      <w:pPr>
        <w:pStyle w:val="2"/>
        <w:rPr>
          <w:rFonts w:hint="eastAsia"/>
        </w:rPr>
      </w:pPr>
      <w:r>
        <w:rPr>
          <w:rFonts w:hint="eastAsia"/>
        </w:rPr>
        <w:t xml:space="preserve">(30)Biomedical Sciences, Stellenbosch University Faculty of Medicine and Health </w:t>
      </w:r>
    </w:p>
    <w:p w14:paraId="6695B21E">
      <w:pPr>
        <w:pStyle w:val="2"/>
        <w:rPr>
          <w:rFonts w:hint="eastAsia"/>
        </w:rPr>
      </w:pPr>
      <w:r>
        <w:rPr>
          <w:rFonts w:hint="eastAsia"/>
        </w:rPr>
        <w:t>Sciences, Cape Town, Western Cape, South Africa.</w:t>
      </w:r>
    </w:p>
    <w:p w14:paraId="047A35C8">
      <w:pPr>
        <w:pStyle w:val="2"/>
        <w:rPr>
          <w:rFonts w:hint="eastAsia"/>
        </w:rPr>
      </w:pPr>
      <w:r>
        <w:rPr>
          <w:rFonts w:hint="eastAsia"/>
        </w:rPr>
        <w:t xml:space="preserve">(31)P. D. Hinduja National Hospital and Medical Research Centre, Mumbai, India, </w:t>
      </w:r>
    </w:p>
    <w:p w14:paraId="78273374">
      <w:pPr>
        <w:pStyle w:val="2"/>
        <w:rPr>
          <w:rFonts w:hint="eastAsia"/>
        </w:rPr>
      </w:pPr>
      <w:r>
        <w:rPr>
          <w:rFonts w:hint="eastAsia"/>
        </w:rPr>
        <w:t>Mumbai, Maharashtra, India.</w:t>
      </w:r>
    </w:p>
    <w:p w14:paraId="28DC9986">
      <w:pPr>
        <w:pStyle w:val="2"/>
        <w:rPr>
          <w:rFonts w:hint="eastAsia"/>
        </w:rPr>
      </w:pPr>
      <w:r>
        <w:rPr>
          <w:rFonts w:hint="eastAsia"/>
        </w:rPr>
        <w:t>(32)Harvard Medical School, Boston, Massachusetts, USA.</w:t>
      </w:r>
    </w:p>
    <w:p w14:paraId="4AD1BCD0">
      <w:pPr>
        <w:pStyle w:val="2"/>
        <w:rPr>
          <w:rFonts w:hint="eastAsia"/>
        </w:rPr>
      </w:pPr>
      <w:r>
        <w:rPr>
          <w:rFonts w:hint="eastAsia"/>
        </w:rPr>
        <w:t>(33)Stellenbosch University, Stellenbosch, South Africa.</w:t>
      </w:r>
    </w:p>
    <w:p w14:paraId="64DEE420">
      <w:pPr>
        <w:pStyle w:val="2"/>
        <w:rPr>
          <w:rFonts w:hint="eastAsia"/>
        </w:rPr>
      </w:pPr>
    </w:p>
    <w:p w14:paraId="7B3E36DE">
      <w:pPr>
        <w:pStyle w:val="2"/>
        <w:rPr>
          <w:rFonts w:hint="eastAsia"/>
        </w:rPr>
      </w:pPr>
      <w:r>
        <w:rPr>
          <w:rFonts w:hint="eastAsia"/>
          <w:b/>
          <w:bCs/>
        </w:rPr>
        <w:t>BACKGROUND:</w:t>
      </w:r>
      <w:r>
        <w:rPr>
          <w:rFonts w:hint="eastAsia"/>
        </w:rPr>
        <w:t xml:space="preserve"> Comprehensive knowledge of resistance to the novel all-oral regimens </w:t>
      </w:r>
    </w:p>
    <w:p w14:paraId="253620C9">
      <w:pPr>
        <w:pStyle w:val="2"/>
        <w:rPr>
          <w:rFonts w:hint="eastAsia"/>
        </w:rPr>
      </w:pPr>
      <w:r>
        <w:rPr>
          <w:rFonts w:hint="eastAsia"/>
        </w:rPr>
        <w:t xml:space="preserve">for treatment of rifampicin-resistant tuberculosis (RR-TB) is important, but </w:t>
      </w:r>
    </w:p>
    <w:p w14:paraId="02A6F03E">
      <w:pPr>
        <w:pStyle w:val="2"/>
        <w:rPr>
          <w:rFonts w:hint="eastAsia"/>
        </w:rPr>
      </w:pPr>
      <w:r>
        <w:rPr>
          <w:rFonts w:hint="eastAsia"/>
        </w:rPr>
        <w:t xml:space="preserve">challenging variant detection by next-generation sequencing (NGS) in combination </w:t>
      </w:r>
    </w:p>
    <w:p w14:paraId="55FAE413">
      <w:pPr>
        <w:pStyle w:val="2"/>
        <w:rPr>
          <w:rFonts w:hint="eastAsia"/>
        </w:rPr>
      </w:pPr>
      <w:r>
        <w:rPr>
          <w:rFonts w:hint="eastAsia"/>
        </w:rPr>
        <w:t xml:space="preserve">with variant interpretation software can diagnose resistance early. We aimed to </w:t>
      </w:r>
    </w:p>
    <w:p w14:paraId="69A4601F">
      <w:pPr>
        <w:pStyle w:val="2"/>
        <w:rPr>
          <w:rFonts w:hint="eastAsia"/>
        </w:rPr>
      </w:pPr>
      <w:r>
        <w:rPr>
          <w:rFonts w:hint="eastAsia"/>
        </w:rPr>
        <w:t xml:space="preserve">generate a consensus on strategic issues for the implementation of NGS for </w:t>
      </w:r>
    </w:p>
    <w:p w14:paraId="15C7AE7C">
      <w:pPr>
        <w:pStyle w:val="2"/>
        <w:rPr>
          <w:rFonts w:hint="eastAsia"/>
        </w:rPr>
      </w:pPr>
      <w:r>
        <w:rPr>
          <w:rFonts w:hint="eastAsia"/>
        </w:rPr>
        <w:t>routine RR-TB care.</w:t>
      </w:r>
    </w:p>
    <w:p w14:paraId="30046601">
      <w:pPr>
        <w:pStyle w:val="2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We employed a stakeholder consensus process informed by Delphi </w:t>
      </w:r>
    </w:p>
    <w:p w14:paraId="335C2A02">
      <w:pPr>
        <w:pStyle w:val="2"/>
        <w:rPr>
          <w:rFonts w:hint="eastAsia"/>
        </w:rPr>
      </w:pPr>
      <w:r>
        <w:rPr>
          <w:rFonts w:hint="eastAsia"/>
        </w:rPr>
        <w:t xml:space="preserve">principles. First, stakeholders participated in an online survey to provide </w:t>
      </w:r>
    </w:p>
    <w:p w14:paraId="13CD9EBA">
      <w:pPr>
        <w:pStyle w:val="2"/>
        <w:rPr>
          <w:rFonts w:hint="eastAsia"/>
        </w:rPr>
      </w:pPr>
      <w:r>
        <w:rPr>
          <w:rFonts w:hint="eastAsia"/>
        </w:rPr>
        <w:t xml:space="preserve">feedback on statements using a 3-point Likert scale and free text. Responses </w:t>
      </w:r>
    </w:p>
    <w:p w14:paraId="3778135E">
      <w:pPr>
        <w:pStyle w:val="2"/>
        <w:rPr>
          <w:rFonts w:hint="eastAsia"/>
        </w:rPr>
      </w:pPr>
      <w:r>
        <w:rPr>
          <w:rFonts w:hint="eastAsia"/>
        </w:rPr>
        <w:t xml:space="preserve">were then summarised and follow-up discussion fora with stakeholders were held </w:t>
      </w:r>
    </w:p>
    <w:p w14:paraId="05672AB5">
      <w:pPr>
        <w:pStyle w:val="2"/>
        <w:rPr>
          <w:rFonts w:hint="eastAsia"/>
        </w:rPr>
      </w:pPr>
      <w:r>
        <w:rPr>
          <w:rFonts w:hint="eastAsia"/>
        </w:rPr>
        <w:t>to revise statements until a consensus was reached.</w:t>
      </w:r>
    </w:p>
    <w:p w14:paraId="3D545EA5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FINDINGS: </w:t>
      </w:r>
      <w:r>
        <w:rPr>
          <w:rFonts w:hint="eastAsia"/>
        </w:rPr>
        <w:t xml:space="preserve">Of the 116 invited stakeholders, 58 participated, representing RR-TB </w:t>
      </w:r>
    </w:p>
    <w:p w14:paraId="2BE6516D">
      <w:pPr>
        <w:pStyle w:val="2"/>
        <w:rPr>
          <w:rFonts w:hint="eastAsia"/>
        </w:rPr>
      </w:pPr>
      <w:r>
        <w:rPr>
          <w:rFonts w:hint="eastAsia"/>
        </w:rPr>
        <w:t xml:space="preserve">research (n=28), clinical care (n=11), diagnosis (n=5), RR-TB survivors and </w:t>
      </w:r>
    </w:p>
    <w:p w14:paraId="24133481">
      <w:pPr>
        <w:pStyle w:val="2"/>
        <w:rPr>
          <w:rFonts w:hint="eastAsia"/>
        </w:rPr>
      </w:pPr>
      <w:r>
        <w:rPr>
          <w:rFonts w:hint="eastAsia"/>
        </w:rPr>
        <w:t xml:space="preserve">advocacy communities (n=5) from 14 countries in five of the six WHO regions. A </w:t>
      </w:r>
    </w:p>
    <w:p w14:paraId="2A5BB179">
      <w:pPr>
        <w:pStyle w:val="2"/>
        <w:rPr>
          <w:rFonts w:hint="eastAsia"/>
        </w:rPr>
      </w:pPr>
      <w:r>
        <w:rPr>
          <w:rFonts w:hint="eastAsia"/>
        </w:rPr>
        <w:t xml:space="preserve">consensus was rapidly reached for most statements with limited editorial changes </w:t>
      </w:r>
    </w:p>
    <w:p w14:paraId="5F804D55">
      <w:pPr>
        <w:pStyle w:val="2"/>
        <w:rPr>
          <w:rFonts w:hint="eastAsia"/>
        </w:rPr>
      </w:pPr>
      <w:r>
        <w:rPr>
          <w:rFonts w:hint="eastAsia"/>
        </w:rPr>
        <w:t xml:space="preserve">needed. The debate mostly focused on statements covering performing sequencing </w:t>
      </w:r>
    </w:p>
    <w:p w14:paraId="59540F32">
      <w:pPr>
        <w:pStyle w:val="2"/>
        <w:rPr>
          <w:rFonts w:hint="eastAsia"/>
        </w:rPr>
      </w:pPr>
      <w:r>
        <w:rPr>
          <w:rFonts w:hint="eastAsia"/>
        </w:rPr>
        <w:t xml:space="preserve">at centralised facilities, acting on variants without statistical association </w:t>
      </w:r>
    </w:p>
    <w:p w14:paraId="6956FA65">
      <w:pPr>
        <w:pStyle w:val="2"/>
        <w:rPr>
          <w:rFonts w:hint="eastAsia"/>
        </w:rPr>
      </w:pPr>
      <w:r>
        <w:rPr>
          <w:rFonts w:hint="eastAsia"/>
        </w:rPr>
        <w:t xml:space="preserve">with resistance in the WHO catalogue of mutations, strengthening WHO-endorsed </w:t>
      </w:r>
    </w:p>
    <w:p w14:paraId="6A3AAD51">
      <w:pPr>
        <w:pStyle w:val="2"/>
        <w:rPr>
          <w:rFonts w:hint="eastAsia"/>
        </w:rPr>
      </w:pPr>
      <w:r>
        <w:rPr>
          <w:rFonts w:hint="eastAsia"/>
        </w:rPr>
        <w:t xml:space="preserve">regimens and the need for informed consent for the use of NGS for care and </w:t>
      </w:r>
    </w:p>
    <w:p w14:paraId="133D1B3E">
      <w:pPr>
        <w:pStyle w:val="2"/>
        <w:rPr>
          <w:rFonts w:hint="eastAsia"/>
        </w:rPr>
      </w:pPr>
      <w:r>
        <w:rPr>
          <w:rFonts w:hint="eastAsia"/>
        </w:rPr>
        <w:t>surveillance.</w:t>
      </w:r>
    </w:p>
    <w:p w14:paraId="3A92E9F6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INTERPRETATION: </w:t>
      </w:r>
      <w:r>
        <w:rPr>
          <w:rFonts w:hint="eastAsia"/>
        </w:rPr>
        <w:t xml:space="preserve">The consensus-building process grounded in real-world experience </w:t>
      </w:r>
    </w:p>
    <w:p w14:paraId="09FFFE4A">
      <w:pPr>
        <w:pStyle w:val="2"/>
        <w:rPr>
          <w:rFonts w:hint="eastAsia"/>
        </w:rPr>
      </w:pPr>
      <w:r>
        <w:rPr>
          <w:rFonts w:hint="eastAsia"/>
        </w:rPr>
        <w:t xml:space="preserve">from a diverse group of stakeholders generated 32 consensus statements covering </w:t>
      </w:r>
    </w:p>
    <w:p w14:paraId="6AB4FA2A">
      <w:pPr>
        <w:pStyle w:val="2"/>
        <w:rPr>
          <w:rFonts w:hint="eastAsia"/>
        </w:rPr>
      </w:pPr>
      <w:r>
        <w:rPr>
          <w:rFonts w:hint="eastAsia"/>
        </w:rPr>
        <w:t xml:space="preserve">five strategic domains. The blueprint generated is not a definite prescriptive </w:t>
      </w:r>
    </w:p>
    <w:p w14:paraId="3CD967BF">
      <w:pPr>
        <w:pStyle w:val="2"/>
        <w:rPr>
          <w:rFonts w:hint="eastAsia"/>
        </w:rPr>
      </w:pPr>
      <w:r>
        <w:rPr>
          <w:rFonts w:hint="eastAsia"/>
        </w:rPr>
        <w:t xml:space="preserve">framework but a document that can support policymakers when developing </w:t>
      </w:r>
    </w:p>
    <w:p w14:paraId="2117BD79">
      <w:pPr>
        <w:pStyle w:val="2"/>
        <w:rPr>
          <w:rFonts w:hint="eastAsia"/>
        </w:rPr>
      </w:pPr>
      <w:r>
        <w:rPr>
          <w:rFonts w:hint="eastAsia"/>
        </w:rPr>
        <w:t>country-specific policies for NGS-guided precision medicine and RR-TB care.</w:t>
      </w:r>
    </w:p>
    <w:p w14:paraId="72D19B12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SOURCES OF FUNDING: </w:t>
      </w:r>
      <w:r>
        <w:rPr>
          <w:rFonts w:hint="eastAsia"/>
        </w:rPr>
        <w:t xml:space="preserve">This work was supported by the Global Health EDCTP3 Joint </w:t>
      </w:r>
    </w:p>
    <w:p w14:paraId="1228F12A">
      <w:pPr>
        <w:pStyle w:val="2"/>
        <w:rPr>
          <w:rFonts w:hint="eastAsia"/>
        </w:rPr>
      </w:pPr>
      <w:r>
        <w:rPr>
          <w:rFonts w:hint="eastAsia"/>
        </w:rPr>
        <w:t xml:space="preserve">Undertaking and the Bill &amp; Melinda Gates Foundation under the GenPath Africa </w:t>
      </w:r>
    </w:p>
    <w:p w14:paraId="34328F7C">
      <w:pPr>
        <w:pStyle w:val="2"/>
        <w:rPr>
          <w:rFonts w:hint="eastAsia"/>
        </w:rPr>
      </w:pPr>
      <w:r>
        <w:rPr>
          <w:rFonts w:hint="eastAsia"/>
        </w:rPr>
        <w:t xml:space="preserve">project (101103171), the Research Foundation Flanders (FWO) Odysseus (G0F8316N) </w:t>
      </w:r>
    </w:p>
    <w:p w14:paraId="1E191687">
      <w:pPr>
        <w:pStyle w:val="2"/>
        <w:rPr>
          <w:rFonts w:hint="eastAsia"/>
        </w:rPr>
      </w:pPr>
      <w:r>
        <w:rPr>
          <w:rFonts w:hint="eastAsia"/>
        </w:rPr>
        <w:t>and TBM grants (T001018N).</w:t>
      </w:r>
    </w:p>
    <w:p w14:paraId="79A89B05">
      <w:pPr>
        <w:pStyle w:val="2"/>
        <w:rPr>
          <w:rFonts w:hint="eastAsia"/>
        </w:rPr>
      </w:pPr>
    </w:p>
    <w:p w14:paraId="79F656ED">
      <w:pPr>
        <w:pStyle w:val="2"/>
        <w:rPr>
          <w:rFonts w:hint="eastAsia"/>
        </w:rPr>
      </w:pPr>
      <w:r>
        <w:rPr>
          <w:rFonts w:hint="eastAsia"/>
        </w:rPr>
        <w:t xml:space="preserve">Copyright © Author(s) (or their employer(s)) 2026. Re-use permitted under CC </w:t>
      </w:r>
    </w:p>
    <w:p w14:paraId="1B5F40A6">
      <w:pPr>
        <w:pStyle w:val="2"/>
        <w:rPr>
          <w:rFonts w:hint="eastAsia"/>
        </w:rPr>
      </w:pPr>
      <w:r>
        <w:rPr>
          <w:rFonts w:hint="eastAsia"/>
        </w:rPr>
        <w:t>BY-NC. Published by BMJ Group.</w:t>
      </w:r>
    </w:p>
    <w:p w14:paraId="59EF5493">
      <w:pPr>
        <w:pStyle w:val="2"/>
        <w:rPr>
          <w:rFonts w:hint="eastAsia"/>
        </w:rPr>
      </w:pPr>
    </w:p>
    <w:p w14:paraId="5A1ED5DF">
      <w:pPr>
        <w:pStyle w:val="2"/>
        <w:rPr>
          <w:rFonts w:hint="eastAsia"/>
        </w:rPr>
      </w:pPr>
      <w:r>
        <w:rPr>
          <w:rFonts w:hint="eastAsia"/>
        </w:rPr>
        <w:t>DOI: 10.1136/bmjph-2026-004957</w:t>
      </w:r>
    </w:p>
    <w:p w14:paraId="10FE30F5">
      <w:pPr>
        <w:pStyle w:val="2"/>
        <w:rPr>
          <w:rFonts w:hint="eastAsia"/>
        </w:rPr>
      </w:pPr>
      <w:r>
        <w:rPr>
          <w:rFonts w:hint="eastAsia"/>
        </w:rPr>
        <w:t>PMCID: PMC13647007</w:t>
      </w:r>
    </w:p>
    <w:p w14:paraId="63E40BB5">
      <w:pPr>
        <w:pStyle w:val="2"/>
        <w:rPr>
          <w:rFonts w:hint="eastAsia"/>
        </w:rPr>
      </w:pPr>
      <w:r>
        <w:rPr>
          <w:rFonts w:hint="eastAsia"/>
        </w:rPr>
        <w:t>PMID: 42852055</w:t>
      </w:r>
    </w:p>
    <w:p w14:paraId="0F41C91C">
      <w:pPr>
        <w:pStyle w:val="2"/>
        <w:rPr>
          <w:rFonts w:hint="eastAsia"/>
        </w:rPr>
      </w:pPr>
    </w:p>
    <w:p w14:paraId="32DA93BB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2</w:t>
      </w:r>
      <w:r>
        <w:rPr>
          <w:rFonts w:hint="eastAsia"/>
          <w:b/>
          <w:bCs/>
          <w:color w:val="FF0000"/>
          <w:lang w:val="en-US" w:eastAsia="zh-CN"/>
        </w:rPr>
        <w:t>0</w:t>
      </w:r>
      <w:r>
        <w:rPr>
          <w:rFonts w:hint="eastAsia"/>
          <w:b/>
          <w:bCs/>
          <w:color w:val="FF0000"/>
        </w:rPr>
        <w:t>. Clin Infect Dis. 2026 Oct 9:ciag443. doi: 10.1093/cid/ciag443. Online ahead of print.</w:t>
      </w:r>
    </w:p>
    <w:p w14:paraId="049CDCCC">
      <w:pPr>
        <w:pStyle w:val="2"/>
        <w:rPr>
          <w:rFonts w:hint="eastAsia"/>
        </w:rPr>
      </w:pPr>
    </w:p>
    <w:p w14:paraId="0EE63227">
      <w:pPr>
        <w:pStyle w:val="2"/>
        <w:rPr>
          <w:rFonts w:hint="eastAsia"/>
        </w:rPr>
      </w:pPr>
      <w:r>
        <w:rPr>
          <w:rFonts w:hint="eastAsia"/>
        </w:rPr>
        <w:t xml:space="preserve">Tongue Swab Mycobacterium tuberculosis Quantitative Polymerase Chain Reaction </w:t>
      </w:r>
    </w:p>
    <w:p w14:paraId="4AEFFD9C">
      <w:pPr>
        <w:pStyle w:val="2"/>
        <w:rPr>
          <w:rFonts w:hint="eastAsia"/>
        </w:rPr>
      </w:pPr>
      <w:r>
        <w:rPr>
          <w:rFonts w:hint="eastAsia"/>
        </w:rPr>
        <w:t xml:space="preserve">for Community Screening of Asymptomatic Tuberculosis Versus Clinic-Based Triage </w:t>
      </w:r>
    </w:p>
    <w:p w14:paraId="50A504C4">
      <w:pPr>
        <w:pStyle w:val="2"/>
        <w:rPr>
          <w:rFonts w:hint="eastAsia"/>
        </w:rPr>
      </w:pPr>
      <w:r>
        <w:rPr>
          <w:rFonts w:hint="eastAsia"/>
        </w:rPr>
        <w:t>of Symptomatic Tuberculosis.</w:t>
      </w:r>
    </w:p>
    <w:p w14:paraId="0767D6B2">
      <w:pPr>
        <w:pStyle w:val="2"/>
        <w:rPr>
          <w:rFonts w:hint="eastAsia"/>
        </w:rPr>
      </w:pPr>
    </w:p>
    <w:p w14:paraId="2B22A40E">
      <w:pPr>
        <w:pStyle w:val="2"/>
        <w:rPr>
          <w:rFonts w:hint="eastAsia"/>
        </w:rPr>
      </w:pPr>
      <w:r>
        <w:rPr>
          <w:rFonts w:hint="eastAsia"/>
        </w:rPr>
        <w:t xml:space="preserve">Wood RC(1), Olson AM(1), Lochner KA(1), Dragovich RB(1), Ball A(2), Steadman </w:t>
      </w:r>
    </w:p>
    <w:p w14:paraId="3E5C91F4">
      <w:pPr>
        <w:pStyle w:val="2"/>
        <w:rPr>
          <w:rFonts w:hint="eastAsia"/>
        </w:rPr>
      </w:pPr>
      <w:r>
        <w:rPr>
          <w:rFonts w:hint="eastAsia"/>
        </w:rPr>
        <w:t xml:space="preserve">A(2), Perumal T(3)(4), Mendelsohn SC(5), Mulenga H(5), Tameris M(5), Awany D(5), </w:t>
      </w:r>
    </w:p>
    <w:p w14:paraId="1E89863C">
      <w:pPr>
        <w:pStyle w:val="2"/>
        <w:rPr>
          <w:rFonts w:hint="eastAsia"/>
        </w:rPr>
      </w:pPr>
      <w:r>
        <w:rPr>
          <w:rFonts w:hint="eastAsia"/>
        </w:rPr>
        <w:t xml:space="preserve">Moloantoa T(6), Malherbe ST(7), Katona A(8), Maruri F(8), Weigel KM(1), Noor </w:t>
      </w:r>
    </w:p>
    <w:p w14:paraId="02B54B5B">
      <w:pPr>
        <w:pStyle w:val="2"/>
        <w:rPr>
          <w:rFonts w:hint="eastAsia"/>
        </w:rPr>
      </w:pPr>
      <w:r>
        <w:rPr>
          <w:rFonts w:hint="eastAsia"/>
        </w:rPr>
        <w:t xml:space="preserve">F(7), Panchia R(6), Hlongwane K(6), Stanley K(7), van der Heijden YF(8)(9), </w:t>
      </w:r>
    </w:p>
    <w:p w14:paraId="5539672E">
      <w:pPr>
        <w:pStyle w:val="2"/>
        <w:rPr>
          <w:rFonts w:hint="eastAsia"/>
        </w:rPr>
      </w:pPr>
      <w:r>
        <w:rPr>
          <w:rFonts w:hint="eastAsia"/>
        </w:rPr>
        <w:t xml:space="preserve">Hadley K(5), Walzl G(7), Scriba TJ(5), Martinson NA(6), Dheda K(3), Leslie </w:t>
      </w:r>
    </w:p>
    <w:p w14:paraId="6327BC98">
      <w:pPr>
        <w:pStyle w:val="2"/>
        <w:rPr>
          <w:rFonts w:hint="eastAsia"/>
        </w:rPr>
      </w:pPr>
      <w:r>
        <w:rPr>
          <w:rFonts w:hint="eastAsia"/>
        </w:rPr>
        <w:t xml:space="preserve">A(10)(11), Fourie B(12), Sterling TR(8), Cangelosi GA(1), Hatherill M(5); </w:t>
      </w:r>
    </w:p>
    <w:p w14:paraId="5F6B7280">
      <w:pPr>
        <w:pStyle w:val="2"/>
        <w:rPr>
          <w:rFonts w:hint="eastAsia"/>
        </w:rPr>
      </w:pPr>
      <w:r>
        <w:rPr>
          <w:rFonts w:hint="eastAsia"/>
        </w:rPr>
        <w:t xml:space="preserve">Regional Prospective Observational Research in Tuberculosis South Africa Study </w:t>
      </w:r>
    </w:p>
    <w:p w14:paraId="75FC7DDD">
      <w:pPr>
        <w:pStyle w:val="2"/>
        <w:rPr>
          <w:rFonts w:hint="eastAsia"/>
        </w:rPr>
      </w:pPr>
      <w:r>
        <w:rPr>
          <w:rFonts w:hint="eastAsia"/>
        </w:rPr>
        <w:t>Team.</w:t>
      </w:r>
    </w:p>
    <w:p w14:paraId="7B5E68CE">
      <w:pPr>
        <w:pStyle w:val="2"/>
        <w:rPr>
          <w:rFonts w:hint="eastAsia"/>
        </w:rPr>
      </w:pPr>
    </w:p>
    <w:p w14:paraId="77509DC4">
      <w:pPr>
        <w:pStyle w:val="2"/>
        <w:rPr>
          <w:rFonts w:hint="eastAsia"/>
        </w:rPr>
      </w:pPr>
      <w:r>
        <w:rPr>
          <w:rFonts w:hint="eastAsia"/>
        </w:rPr>
        <w:t xml:space="preserve">Collaborators: Abraham P, Allie T, Baard C, Baig Z, Belisle J, Bilek N, Carstens </w:t>
      </w:r>
    </w:p>
    <w:p w14:paraId="23A2A7CA">
      <w:pPr>
        <w:pStyle w:val="2"/>
        <w:rPr>
          <w:rFonts w:hint="eastAsia"/>
        </w:rPr>
      </w:pPr>
      <w:r>
        <w:rPr>
          <w:rFonts w:hint="eastAsia"/>
        </w:rPr>
        <w:t xml:space="preserve">ACE, Chegou NN, Chetty K, Cloete Y, de Kock M, Dickman G, Dire C, Dobos K, Duda </w:t>
      </w:r>
    </w:p>
    <w:p w14:paraId="2F5DCD59">
      <w:pPr>
        <w:pStyle w:val="2"/>
        <w:rPr>
          <w:rFonts w:hint="eastAsia"/>
        </w:rPr>
      </w:pPr>
      <w:r>
        <w:rPr>
          <w:rFonts w:hint="eastAsia"/>
        </w:rPr>
        <w:t xml:space="preserve">SN, Erasmus M, Figueiredo MC, Flinn M, Harris T, Hiemstra A, Jaumdally S, </w:t>
      </w:r>
    </w:p>
    <w:p w14:paraId="220F1CC2">
      <w:pPr>
        <w:pStyle w:val="2"/>
        <w:rPr>
          <w:rFonts w:hint="eastAsia"/>
        </w:rPr>
      </w:pPr>
      <w:r>
        <w:rPr>
          <w:rFonts w:hint="eastAsia"/>
        </w:rPr>
        <w:t xml:space="preserve">Johnson R, Karim F, Kaskar M, Khomba N, Khoza T, Kleynhans L, Kootbodien T, </w:t>
      </w:r>
    </w:p>
    <w:p w14:paraId="236461B3">
      <w:pPr>
        <w:pStyle w:val="2"/>
        <w:rPr>
          <w:rFonts w:hint="eastAsia"/>
        </w:rPr>
      </w:pPr>
      <w:r>
        <w:rPr>
          <w:rFonts w:hint="eastAsia"/>
        </w:rPr>
        <w:t xml:space="preserve">Kotze A, Kriel BA, Kruger A, Lichakane L, Louw I, Luabeya A, MacDonald C, </w:t>
      </w:r>
    </w:p>
    <w:p w14:paraId="24BB5C8E">
      <w:pPr>
        <w:pStyle w:val="2"/>
        <w:rPr>
          <w:rFonts w:hint="eastAsia"/>
        </w:rPr>
      </w:pPr>
      <w:r>
        <w:rPr>
          <w:rFonts w:hint="eastAsia"/>
        </w:rPr>
        <w:t xml:space="preserve">Madziwa L, Makhethe L, Mangali S, Mbuthini L, Mehaffy C, Moloja T, Mouton A, </w:t>
      </w:r>
    </w:p>
    <w:p w14:paraId="32AC1DF6">
      <w:pPr>
        <w:pStyle w:val="2"/>
        <w:rPr>
          <w:rFonts w:hint="eastAsia"/>
        </w:rPr>
      </w:pPr>
      <w:r>
        <w:rPr>
          <w:rFonts w:hint="eastAsia"/>
        </w:rPr>
        <w:t xml:space="preserve">Muchiri E, Ngema M, Nkambule H, Nombida O, Nyangu S, Opperman F, </w:t>
      </w:r>
    </w:p>
    <w:p w14:paraId="7076ACFC">
      <w:pPr>
        <w:pStyle w:val="2"/>
        <w:rPr>
          <w:rFonts w:hint="eastAsia"/>
        </w:rPr>
      </w:pPr>
      <w:r>
        <w:rPr>
          <w:rFonts w:hint="eastAsia"/>
        </w:rPr>
        <w:t xml:space="preserve">Ording-Jespersen G, Otwombe K, Ramsay W, Richardson T, Segelaar C, Shaw J, </w:t>
      </w:r>
    </w:p>
    <w:p w14:paraId="2542FAE9">
      <w:pPr>
        <w:pStyle w:val="2"/>
        <w:rPr>
          <w:rFonts w:hint="eastAsia"/>
        </w:rPr>
      </w:pPr>
      <w:r>
        <w:rPr>
          <w:rFonts w:hint="eastAsia"/>
        </w:rPr>
        <w:t xml:space="preserve">Shelton K, Shenje J, Smit T, Smith B, Snyders C, Steyn M, Suliman S, Swanepoel </w:t>
      </w:r>
    </w:p>
    <w:p w14:paraId="1BBC1D18">
      <w:pPr>
        <w:pStyle w:val="2"/>
        <w:rPr>
          <w:rFonts w:hint="eastAsia"/>
        </w:rPr>
      </w:pPr>
      <w:r>
        <w:rPr>
          <w:rFonts w:hint="eastAsia"/>
        </w:rPr>
        <w:t xml:space="preserve">F, Thobakgale L, Tonsing S, Tredoux N, Turner M, Tyambetyu P, Valley H, van der </w:t>
      </w:r>
    </w:p>
    <w:p w14:paraId="409E3CC3">
      <w:pPr>
        <w:pStyle w:val="2"/>
        <w:rPr>
          <w:rFonts w:hint="eastAsia"/>
        </w:rPr>
      </w:pPr>
      <w:r>
        <w:rPr>
          <w:rFonts w:hint="eastAsia"/>
        </w:rPr>
        <w:t xml:space="preserve">Berg L, van der Heijden Y, van der Spuy G, van Rensburg IR, van Rooyen JE, </w:t>
      </w:r>
    </w:p>
    <w:p w14:paraId="09A905D4">
      <w:pPr>
        <w:pStyle w:val="2"/>
        <w:rPr>
          <w:rFonts w:hint="eastAsia"/>
        </w:rPr>
      </w:pPr>
      <w:r>
        <w:rPr>
          <w:rFonts w:hint="eastAsia"/>
        </w:rPr>
        <w:t>Vansell Riley H, Veldsman A, Wilson L, Workman L, Zar H.</w:t>
      </w:r>
    </w:p>
    <w:p w14:paraId="66D9FA46">
      <w:pPr>
        <w:pStyle w:val="2"/>
        <w:rPr>
          <w:rFonts w:hint="eastAsia"/>
        </w:rPr>
      </w:pPr>
    </w:p>
    <w:p w14:paraId="4562D3FE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0DFCE2E4">
      <w:pPr>
        <w:pStyle w:val="2"/>
        <w:rPr>
          <w:rFonts w:hint="eastAsia"/>
        </w:rPr>
      </w:pPr>
      <w:r>
        <w:rPr>
          <w:rFonts w:hint="eastAsia"/>
        </w:rPr>
        <w:t xml:space="preserve">(1)Department of Occupational and Environmental Health Sciences, University of </w:t>
      </w:r>
    </w:p>
    <w:p w14:paraId="00D4471E">
      <w:pPr>
        <w:pStyle w:val="2"/>
        <w:rPr>
          <w:rFonts w:hint="eastAsia"/>
        </w:rPr>
      </w:pPr>
      <w:r>
        <w:rPr>
          <w:rFonts w:hint="eastAsia"/>
        </w:rPr>
        <w:t>Washington, Seattle, Washington, USA.</w:t>
      </w:r>
    </w:p>
    <w:p w14:paraId="17D5DA4C">
      <w:pPr>
        <w:pStyle w:val="2"/>
        <w:rPr>
          <w:rFonts w:hint="eastAsia"/>
        </w:rPr>
      </w:pPr>
      <w:r>
        <w:rPr>
          <w:rFonts w:hint="eastAsia"/>
        </w:rPr>
        <w:t>(2)Global Health Labs, Bellevue, Washington, USA.</w:t>
      </w:r>
    </w:p>
    <w:p w14:paraId="2B6999E9">
      <w:pPr>
        <w:pStyle w:val="2"/>
        <w:rPr>
          <w:rFonts w:hint="eastAsia"/>
        </w:rPr>
      </w:pPr>
      <w:r>
        <w:rPr>
          <w:rFonts w:hint="eastAsia"/>
        </w:rPr>
        <w:t xml:space="preserve">(3)University of Cape Town Lung Institute, Centre for Lung Infection and </w:t>
      </w:r>
    </w:p>
    <w:p w14:paraId="440C15A9">
      <w:pPr>
        <w:pStyle w:val="2"/>
        <w:rPr>
          <w:rFonts w:hint="eastAsia"/>
        </w:rPr>
      </w:pPr>
      <w:r>
        <w:rPr>
          <w:rFonts w:hint="eastAsia"/>
        </w:rPr>
        <w:t>Immunity, Cape Town, South Africa.</w:t>
      </w:r>
    </w:p>
    <w:p w14:paraId="44C4514B">
      <w:pPr>
        <w:pStyle w:val="2"/>
        <w:rPr>
          <w:rFonts w:hint="eastAsia"/>
        </w:rPr>
      </w:pPr>
      <w:r>
        <w:rPr>
          <w:rFonts w:hint="eastAsia"/>
        </w:rPr>
        <w:t xml:space="preserve">(4)South African Medical Research Council/University of Cape Town, Centre for </w:t>
      </w:r>
    </w:p>
    <w:p w14:paraId="05347923">
      <w:pPr>
        <w:pStyle w:val="2"/>
        <w:rPr>
          <w:rFonts w:hint="eastAsia"/>
        </w:rPr>
      </w:pPr>
      <w:r>
        <w:rPr>
          <w:rFonts w:hint="eastAsia"/>
        </w:rPr>
        <w:t>the Study of Antimicrobial Resistance, Cape Town, South Africa.</w:t>
      </w:r>
    </w:p>
    <w:p w14:paraId="0130A5D8">
      <w:pPr>
        <w:pStyle w:val="2"/>
        <w:rPr>
          <w:rFonts w:hint="eastAsia"/>
        </w:rPr>
      </w:pPr>
      <w:r>
        <w:rPr>
          <w:rFonts w:hint="eastAsia"/>
        </w:rPr>
        <w:t xml:space="preserve">(5)South African Tuberculosis Vaccine Initiative, Institute of Infectious </w:t>
      </w:r>
    </w:p>
    <w:p w14:paraId="15D04E68">
      <w:pPr>
        <w:pStyle w:val="2"/>
        <w:rPr>
          <w:rFonts w:hint="eastAsia"/>
        </w:rPr>
      </w:pPr>
      <w:r>
        <w:rPr>
          <w:rFonts w:hint="eastAsia"/>
        </w:rPr>
        <w:t xml:space="preserve">Disease and Molecular Medicine and Department of Pathology, University of Cape </w:t>
      </w:r>
    </w:p>
    <w:p w14:paraId="7FF83893">
      <w:pPr>
        <w:pStyle w:val="2"/>
        <w:rPr>
          <w:rFonts w:hint="eastAsia"/>
        </w:rPr>
      </w:pPr>
      <w:r>
        <w:rPr>
          <w:rFonts w:hint="eastAsia"/>
        </w:rPr>
        <w:t>Town, Cape Town, South Africa.</w:t>
      </w:r>
    </w:p>
    <w:p w14:paraId="09926961">
      <w:pPr>
        <w:pStyle w:val="2"/>
        <w:rPr>
          <w:rFonts w:hint="eastAsia"/>
        </w:rPr>
      </w:pPr>
      <w:r>
        <w:rPr>
          <w:rFonts w:hint="eastAsia"/>
        </w:rPr>
        <w:t xml:space="preserve">(6)Perinatal HIV Research Unit, University of the Witwatersrand, Johannesburg, </w:t>
      </w:r>
    </w:p>
    <w:p w14:paraId="69E61F3F">
      <w:pPr>
        <w:pStyle w:val="2"/>
        <w:rPr>
          <w:rFonts w:hint="eastAsia"/>
        </w:rPr>
      </w:pPr>
      <w:r>
        <w:rPr>
          <w:rFonts w:hint="eastAsia"/>
        </w:rPr>
        <w:t>South Africa.</w:t>
      </w:r>
    </w:p>
    <w:p w14:paraId="18AD5A7B">
      <w:pPr>
        <w:pStyle w:val="2"/>
        <w:rPr>
          <w:rFonts w:hint="eastAsia"/>
        </w:rPr>
      </w:pPr>
      <w:r>
        <w:rPr>
          <w:rFonts w:hint="eastAsia"/>
        </w:rPr>
        <w:t xml:space="preserve">(7)South African Medical Research Council Centre for TB Research and Division of </w:t>
      </w:r>
    </w:p>
    <w:p w14:paraId="11A6B8B2">
      <w:pPr>
        <w:pStyle w:val="2"/>
        <w:rPr>
          <w:rFonts w:hint="eastAsia"/>
        </w:rPr>
      </w:pPr>
      <w:r>
        <w:rPr>
          <w:rFonts w:hint="eastAsia"/>
        </w:rPr>
        <w:t xml:space="preserve">Immunology, Department of Biomedical Sciences, Faculty of Medicine and Health </w:t>
      </w:r>
    </w:p>
    <w:p w14:paraId="7EBA47B3">
      <w:pPr>
        <w:pStyle w:val="2"/>
        <w:rPr>
          <w:rFonts w:hint="eastAsia"/>
        </w:rPr>
      </w:pPr>
      <w:r>
        <w:rPr>
          <w:rFonts w:hint="eastAsia"/>
        </w:rPr>
        <w:t>Sciences, Stellenbosch University, Cape Town, South Africa.</w:t>
      </w:r>
    </w:p>
    <w:p w14:paraId="61C916C1">
      <w:pPr>
        <w:pStyle w:val="2"/>
        <w:rPr>
          <w:rFonts w:hint="eastAsia"/>
        </w:rPr>
      </w:pPr>
      <w:r>
        <w:rPr>
          <w:rFonts w:hint="eastAsia"/>
        </w:rPr>
        <w:t xml:space="preserve">(8)Vanderbilt Tuberculosis Center, Vanderbilt University Medical Center, </w:t>
      </w:r>
    </w:p>
    <w:p w14:paraId="58C7BEB9">
      <w:pPr>
        <w:pStyle w:val="2"/>
        <w:rPr>
          <w:rFonts w:hint="eastAsia"/>
        </w:rPr>
      </w:pPr>
      <w:r>
        <w:rPr>
          <w:rFonts w:hint="eastAsia"/>
        </w:rPr>
        <w:t>Nashville, Tennessee, USA.</w:t>
      </w:r>
    </w:p>
    <w:p w14:paraId="2695422C">
      <w:pPr>
        <w:pStyle w:val="2"/>
        <w:rPr>
          <w:rFonts w:hint="eastAsia"/>
        </w:rPr>
      </w:pPr>
      <w:r>
        <w:rPr>
          <w:rFonts w:hint="eastAsia"/>
        </w:rPr>
        <w:t>(9)The Aurum Institute, Johannesburg, South Africa.</w:t>
      </w:r>
    </w:p>
    <w:p w14:paraId="63D3231A">
      <w:pPr>
        <w:pStyle w:val="2"/>
        <w:rPr>
          <w:rFonts w:hint="eastAsia"/>
        </w:rPr>
      </w:pPr>
      <w:r>
        <w:rPr>
          <w:rFonts w:hint="eastAsia"/>
        </w:rPr>
        <w:t>(10)Africa Health Research Institute, Durban, South Africa.</w:t>
      </w:r>
    </w:p>
    <w:p w14:paraId="530BC48E">
      <w:pPr>
        <w:pStyle w:val="2"/>
        <w:rPr>
          <w:rFonts w:hint="eastAsia"/>
        </w:rPr>
      </w:pPr>
      <w:r>
        <w:rPr>
          <w:rFonts w:hint="eastAsia"/>
        </w:rPr>
        <w:t xml:space="preserve">(11)Department of Infection and Immunity, University College London, London, </w:t>
      </w:r>
    </w:p>
    <w:p w14:paraId="38820E65">
      <w:pPr>
        <w:pStyle w:val="2"/>
        <w:rPr>
          <w:rFonts w:hint="eastAsia"/>
        </w:rPr>
      </w:pPr>
      <w:r>
        <w:rPr>
          <w:rFonts w:hint="eastAsia"/>
        </w:rPr>
        <w:t>United Kingdom.</w:t>
      </w:r>
    </w:p>
    <w:p w14:paraId="371115A0">
      <w:pPr>
        <w:pStyle w:val="2"/>
        <w:rPr>
          <w:rFonts w:hint="eastAsia"/>
        </w:rPr>
      </w:pPr>
      <w:r>
        <w:rPr>
          <w:rFonts w:hint="eastAsia"/>
        </w:rPr>
        <w:t>(12)University of Pretoria TB Research Centre, Pretoria, South Africa.</w:t>
      </w:r>
    </w:p>
    <w:p w14:paraId="4F3F55FB">
      <w:pPr>
        <w:pStyle w:val="2"/>
        <w:rPr>
          <w:rFonts w:hint="eastAsia"/>
        </w:rPr>
      </w:pPr>
    </w:p>
    <w:p w14:paraId="33041D9A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Diagnostic performance of tongue swab Mycobacterium tuberculosis </w:t>
      </w:r>
    </w:p>
    <w:p w14:paraId="4F19A8AD">
      <w:pPr>
        <w:pStyle w:val="2"/>
        <w:rPr>
          <w:rFonts w:hint="eastAsia"/>
        </w:rPr>
      </w:pPr>
      <w:r>
        <w:rPr>
          <w:rFonts w:hint="eastAsia"/>
        </w:rPr>
        <w:t xml:space="preserve">polymerase chain reaction (PCR) has been evaluated for triage of symptomatic </w:t>
      </w:r>
    </w:p>
    <w:p w14:paraId="31CAB210">
      <w:pPr>
        <w:pStyle w:val="2"/>
        <w:rPr>
          <w:rFonts w:hint="eastAsia"/>
        </w:rPr>
      </w:pPr>
      <w:r>
        <w:rPr>
          <w:rFonts w:hint="eastAsia"/>
        </w:rPr>
        <w:t xml:space="preserve">tuberculosis (TB). It is unknown whether performance differs for detection of </w:t>
      </w:r>
    </w:p>
    <w:p w14:paraId="62EE2C39">
      <w:pPr>
        <w:pStyle w:val="2"/>
        <w:rPr>
          <w:rFonts w:hint="eastAsia"/>
        </w:rPr>
      </w:pPr>
      <w:r>
        <w:rPr>
          <w:rFonts w:hint="eastAsia"/>
        </w:rPr>
        <w:t>asymptomatic TB in community-based screening.</w:t>
      </w:r>
    </w:p>
    <w:p w14:paraId="70DB7A33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METHODS: </w:t>
      </w:r>
      <w:r>
        <w:rPr>
          <w:rFonts w:hint="eastAsia"/>
        </w:rPr>
        <w:t xml:space="preserve">Tongue swabs were collected from adult household contacts of persons </w:t>
      </w:r>
    </w:p>
    <w:p w14:paraId="3FD2DF1E">
      <w:pPr>
        <w:pStyle w:val="2"/>
        <w:rPr>
          <w:rFonts w:hint="eastAsia"/>
        </w:rPr>
      </w:pPr>
      <w:r>
        <w:rPr>
          <w:rFonts w:hint="eastAsia"/>
        </w:rPr>
        <w:t xml:space="preserve">with TB (HHC cohort), and symptomatic adults presenting with presumptive TB </w:t>
      </w:r>
    </w:p>
    <w:p w14:paraId="6103282D">
      <w:pPr>
        <w:pStyle w:val="2"/>
        <w:rPr>
          <w:rFonts w:hint="eastAsia"/>
        </w:rPr>
      </w:pPr>
      <w:r>
        <w:rPr>
          <w:rFonts w:hint="eastAsia"/>
        </w:rPr>
        <w:t xml:space="preserve">(clinic cohort), at six South African sites. Drug-susceptible pulmonary TB was </w:t>
      </w:r>
    </w:p>
    <w:p w14:paraId="2F2EC31D">
      <w:pPr>
        <w:pStyle w:val="2"/>
        <w:rPr>
          <w:rFonts w:hint="eastAsia"/>
        </w:rPr>
      </w:pPr>
      <w:r>
        <w:rPr>
          <w:rFonts w:hint="eastAsia"/>
        </w:rPr>
        <w:t xml:space="preserve">defined by positive sputum Xpert Ultra (excluding trace) or liquid culture, </w:t>
      </w:r>
    </w:p>
    <w:p w14:paraId="11C518AA">
      <w:pPr>
        <w:pStyle w:val="2"/>
        <w:rPr>
          <w:rFonts w:hint="eastAsia"/>
        </w:rPr>
      </w:pPr>
      <w:r>
        <w:rPr>
          <w:rFonts w:hint="eastAsia"/>
        </w:rPr>
        <w:t xml:space="preserve">which were performed in all participants. Tongue swabs from participants with </w:t>
      </w:r>
    </w:p>
    <w:p w14:paraId="16F85E35">
      <w:pPr>
        <w:pStyle w:val="2"/>
        <w:rPr>
          <w:rFonts w:hint="eastAsia"/>
        </w:rPr>
      </w:pPr>
      <w:r>
        <w:rPr>
          <w:rFonts w:hint="eastAsia"/>
        </w:rPr>
        <w:t xml:space="preserve">and without TB, matched by propensity score, were tested by high-volume </w:t>
      </w:r>
    </w:p>
    <w:p w14:paraId="51D2FE7F">
      <w:pPr>
        <w:pStyle w:val="2"/>
        <w:rPr>
          <w:rFonts w:hint="eastAsia"/>
        </w:rPr>
      </w:pPr>
      <w:r>
        <w:rPr>
          <w:rFonts w:hint="eastAsia"/>
        </w:rPr>
        <w:t xml:space="preserve">quantitative PCR (qPCR) and, in the clinic cohort, also by sequence-specific </w:t>
      </w:r>
    </w:p>
    <w:p w14:paraId="74C1EFA3">
      <w:pPr>
        <w:pStyle w:val="2"/>
        <w:rPr>
          <w:rFonts w:hint="eastAsia"/>
        </w:rPr>
      </w:pPr>
      <w:r>
        <w:rPr>
          <w:rFonts w:hint="eastAsia"/>
        </w:rPr>
        <w:t>magnetic capture (SSMaC) with qPCR.</w:t>
      </w:r>
    </w:p>
    <w:p w14:paraId="34649666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The clinic cohort included 217 participants with TB (100% symptomatic) </w:t>
      </w:r>
    </w:p>
    <w:p w14:paraId="2B87997C">
      <w:pPr>
        <w:pStyle w:val="2"/>
        <w:rPr>
          <w:rFonts w:hint="eastAsia"/>
        </w:rPr>
      </w:pPr>
      <w:r>
        <w:rPr>
          <w:rFonts w:hint="eastAsia"/>
        </w:rPr>
        <w:t xml:space="preserve">and 437 participants without TB. The HHC cohort included 44 participants with TB </w:t>
      </w:r>
    </w:p>
    <w:p w14:paraId="3715EFDB">
      <w:pPr>
        <w:pStyle w:val="2"/>
        <w:rPr>
          <w:rFonts w:hint="eastAsia"/>
        </w:rPr>
      </w:pPr>
      <w:r>
        <w:rPr>
          <w:rFonts w:hint="eastAsia"/>
        </w:rPr>
        <w:t xml:space="preserve">(84.1% asymptomatic) and 136 participants without TB. In the clinic cohort, </w:t>
      </w:r>
    </w:p>
    <w:p w14:paraId="4917DB1C">
      <w:pPr>
        <w:pStyle w:val="2"/>
        <w:rPr>
          <w:rFonts w:hint="eastAsia"/>
        </w:rPr>
      </w:pPr>
      <w:r>
        <w:rPr>
          <w:rFonts w:hint="eastAsia"/>
        </w:rPr>
        <w:t xml:space="preserve">sensitivity of SSMaC with qPCR was 73.2% (specificity 94.6%), but not </w:t>
      </w:r>
    </w:p>
    <w:p w14:paraId="2A03E433">
      <w:pPr>
        <w:pStyle w:val="2"/>
        <w:rPr>
          <w:rFonts w:hint="eastAsia"/>
        </w:rPr>
      </w:pPr>
      <w:r>
        <w:rPr>
          <w:rFonts w:hint="eastAsia"/>
        </w:rPr>
        <w:t xml:space="preserve">significantly higher than high-volume qPCR (63.8%; P = .14) (specificity 94.4%). </w:t>
      </w:r>
    </w:p>
    <w:p w14:paraId="60F0A2DD">
      <w:pPr>
        <w:pStyle w:val="2"/>
        <w:rPr>
          <w:rFonts w:hint="eastAsia"/>
        </w:rPr>
      </w:pPr>
      <w:r>
        <w:rPr>
          <w:rFonts w:hint="eastAsia"/>
        </w:rPr>
        <w:t xml:space="preserve">Sensitivity of high-volume qPCR in the clinic cohort (63.8%) was significantly </w:t>
      </w:r>
    </w:p>
    <w:p w14:paraId="3E49484A">
      <w:pPr>
        <w:pStyle w:val="2"/>
        <w:rPr>
          <w:rFonts w:hint="eastAsia"/>
        </w:rPr>
      </w:pPr>
      <w:r>
        <w:rPr>
          <w:rFonts w:hint="eastAsia"/>
        </w:rPr>
        <w:t xml:space="preserve">higher than the HHC cohort (34.1%; P = .0007) (specificity 91.9%). Among HHC, </w:t>
      </w:r>
    </w:p>
    <w:p w14:paraId="1EE2D522">
      <w:pPr>
        <w:pStyle w:val="2"/>
        <w:rPr>
          <w:rFonts w:hint="eastAsia"/>
        </w:rPr>
      </w:pPr>
      <w:r>
        <w:rPr>
          <w:rFonts w:hint="eastAsia"/>
        </w:rPr>
        <w:t xml:space="preserve">high-volume qPCR sensitivity was 35.1% for asymptomatic TB, 52.2% for TB with </w:t>
      </w:r>
    </w:p>
    <w:p w14:paraId="470704CF">
      <w:pPr>
        <w:pStyle w:val="2"/>
        <w:rPr>
          <w:rFonts w:hint="eastAsia"/>
        </w:rPr>
      </w:pPr>
      <w:r>
        <w:rPr>
          <w:rFonts w:hint="eastAsia"/>
        </w:rPr>
        <w:t>abnormal chest radiograph, and 100% for TB with high sputum Xpert Ultra grade.</w:t>
      </w:r>
    </w:p>
    <w:p w14:paraId="5E181A8E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CONCLUSIONS: </w:t>
      </w:r>
      <w:r>
        <w:rPr>
          <w:rFonts w:hint="eastAsia"/>
        </w:rPr>
        <w:t xml:space="preserve">Sensitivity of tongue swab high-volume qPCR in community-based, </w:t>
      </w:r>
    </w:p>
    <w:p w14:paraId="775674C6">
      <w:pPr>
        <w:pStyle w:val="2"/>
        <w:rPr>
          <w:rFonts w:hint="eastAsia"/>
        </w:rPr>
      </w:pPr>
      <w:r>
        <w:rPr>
          <w:rFonts w:hint="eastAsia"/>
        </w:rPr>
        <w:t xml:space="preserve">household screening for asymptomatic TB was low, approximately half that of </w:t>
      </w:r>
    </w:p>
    <w:p w14:paraId="6A4C45F7">
      <w:pPr>
        <w:pStyle w:val="2"/>
        <w:rPr>
          <w:rFonts w:hint="eastAsia"/>
        </w:rPr>
      </w:pPr>
      <w:r>
        <w:rPr>
          <w:rFonts w:hint="eastAsia"/>
        </w:rPr>
        <w:t xml:space="preserve">facility-based triage for symptomatic TB, but increased with radiographic </w:t>
      </w:r>
    </w:p>
    <w:p w14:paraId="70C3763C">
      <w:pPr>
        <w:pStyle w:val="2"/>
        <w:rPr>
          <w:rFonts w:hint="eastAsia"/>
        </w:rPr>
      </w:pPr>
      <w:r>
        <w:rPr>
          <w:rFonts w:hint="eastAsia"/>
        </w:rPr>
        <w:t>severity and sputum bacillary load.</w:t>
      </w:r>
    </w:p>
    <w:p w14:paraId="61796F7B">
      <w:pPr>
        <w:pStyle w:val="2"/>
        <w:rPr>
          <w:rFonts w:hint="eastAsia"/>
        </w:rPr>
      </w:pPr>
    </w:p>
    <w:p w14:paraId="57C9F505">
      <w:pPr>
        <w:pStyle w:val="2"/>
        <w:rPr>
          <w:rFonts w:hint="eastAsia"/>
        </w:rPr>
      </w:pPr>
      <w:r>
        <w:rPr>
          <w:rFonts w:hint="eastAsia"/>
        </w:rPr>
        <w:t xml:space="preserve">© The Author(s) 2026. Published by Oxford University Press on behalf of </w:t>
      </w:r>
    </w:p>
    <w:p w14:paraId="1A1C8197">
      <w:pPr>
        <w:pStyle w:val="2"/>
        <w:rPr>
          <w:rFonts w:hint="eastAsia"/>
        </w:rPr>
      </w:pPr>
      <w:r>
        <w:rPr>
          <w:rFonts w:hint="eastAsia"/>
        </w:rPr>
        <w:t>Infectious Diseases Society of America.</w:t>
      </w:r>
    </w:p>
    <w:p w14:paraId="01D8C6CE">
      <w:pPr>
        <w:pStyle w:val="2"/>
        <w:rPr>
          <w:rFonts w:hint="eastAsia"/>
        </w:rPr>
      </w:pPr>
    </w:p>
    <w:p w14:paraId="5525C904">
      <w:pPr>
        <w:pStyle w:val="2"/>
        <w:rPr>
          <w:rFonts w:hint="eastAsia"/>
        </w:rPr>
      </w:pPr>
      <w:r>
        <w:rPr>
          <w:rFonts w:hint="eastAsia"/>
        </w:rPr>
        <w:t>DOI: 10.1093/cid/ciag443</w:t>
      </w:r>
    </w:p>
    <w:p w14:paraId="22002A79">
      <w:pPr>
        <w:pStyle w:val="2"/>
        <w:rPr>
          <w:rFonts w:hint="eastAsia"/>
        </w:rPr>
      </w:pPr>
      <w:r>
        <w:rPr>
          <w:rFonts w:hint="eastAsia"/>
        </w:rPr>
        <w:t>PMID: 42850580</w:t>
      </w:r>
    </w:p>
    <w:p w14:paraId="44D5701B">
      <w:pPr>
        <w:pStyle w:val="2"/>
        <w:rPr>
          <w:rFonts w:hint="eastAsia"/>
        </w:rPr>
      </w:pPr>
    </w:p>
    <w:p w14:paraId="4B06BEA9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2</w:t>
      </w:r>
      <w:r>
        <w:rPr>
          <w:rFonts w:hint="eastAsia"/>
          <w:b/>
          <w:bCs/>
          <w:color w:val="FF0000"/>
          <w:lang w:val="en-US" w:eastAsia="zh-CN"/>
        </w:rPr>
        <w:t>1</w:t>
      </w:r>
      <w:r>
        <w:rPr>
          <w:rFonts w:hint="eastAsia"/>
          <w:b/>
          <w:bCs/>
          <w:color w:val="FF0000"/>
        </w:rPr>
        <w:t>. Eur J Pediatr. 2026 Oct 9;185(11):818. doi: 10.1007/s00431-026-07470-9.</w:t>
      </w:r>
    </w:p>
    <w:p w14:paraId="6CF7F0F4">
      <w:pPr>
        <w:pStyle w:val="2"/>
        <w:rPr>
          <w:rFonts w:hint="eastAsia"/>
        </w:rPr>
      </w:pPr>
    </w:p>
    <w:p w14:paraId="790086E0">
      <w:pPr>
        <w:pStyle w:val="2"/>
        <w:rPr>
          <w:rFonts w:hint="eastAsia"/>
        </w:rPr>
      </w:pPr>
      <w:r>
        <w:rPr>
          <w:rFonts w:hint="eastAsia"/>
        </w:rPr>
        <w:t xml:space="preserve">Mediastinal lymphadenitis caused by Mycobacterium avium complex in children: a </w:t>
      </w:r>
    </w:p>
    <w:p w14:paraId="69B4E44A">
      <w:pPr>
        <w:pStyle w:val="2"/>
        <w:rPr>
          <w:rFonts w:hint="eastAsia"/>
        </w:rPr>
      </w:pPr>
      <w:r>
        <w:rPr>
          <w:rFonts w:hint="eastAsia"/>
        </w:rPr>
        <w:t>rare case of airway compression.</w:t>
      </w:r>
    </w:p>
    <w:p w14:paraId="3144394E">
      <w:pPr>
        <w:pStyle w:val="2"/>
        <w:rPr>
          <w:rFonts w:hint="eastAsia"/>
        </w:rPr>
      </w:pPr>
    </w:p>
    <w:p w14:paraId="6EF910E5">
      <w:pPr>
        <w:pStyle w:val="2"/>
        <w:rPr>
          <w:rFonts w:hint="eastAsia"/>
        </w:rPr>
      </w:pPr>
      <w:r>
        <w:rPr>
          <w:rFonts w:hint="eastAsia"/>
        </w:rPr>
        <w:t xml:space="preserve">Fréret V(1)(2), Berteloot L(3)(4)(5), Taam RA(6)(5), Bosdure E(7)(5), Corvol </w:t>
      </w:r>
    </w:p>
    <w:p w14:paraId="0822A7A3">
      <w:pPr>
        <w:pStyle w:val="2"/>
        <w:rPr>
          <w:rFonts w:hint="eastAsia"/>
        </w:rPr>
      </w:pPr>
      <w:r>
        <w:rPr>
          <w:rFonts w:hint="eastAsia"/>
        </w:rPr>
        <w:t xml:space="preserve">H(8)(9)(5), Cros P(10)(5), Dubus JC(7)(11)(5), Gachelin E(12)(5), Gibertini </w:t>
      </w:r>
    </w:p>
    <w:p w14:paraId="48B4A35D">
      <w:pPr>
        <w:pStyle w:val="2"/>
        <w:rPr>
          <w:rFonts w:hint="eastAsia"/>
        </w:rPr>
      </w:pPr>
      <w:r>
        <w:rPr>
          <w:rFonts w:hint="eastAsia"/>
        </w:rPr>
        <w:t xml:space="preserve">I(13)(5), Hullo E(14)(5), Mordacq C(15)(5), Nathan N(8)(16)(5), Prévost </w:t>
      </w:r>
    </w:p>
    <w:p w14:paraId="0E0822B2">
      <w:pPr>
        <w:pStyle w:val="2"/>
        <w:rPr>
          <w:rFonts w:hint="eastAsia"/>
        </w:rPr>
      </w:pPr>
      <w:r>
        <w:rPr>
          <w:rFonts w:hint="eastAsia"/>
        </w:rPr>
        <w:t xml:space="preserve">B(8)(9)(5), Roy C(6)(5), Thumerelle C(15)(5), Casanova </w:t>
      </w:r>
    </w:p>
    <w:p w14:paraId="25060F41">
      <w:pPr>
        <w:pStyle w:val="2"/>
        <w:rPr>
          <w:rFonts w:hint="eastAsia"/>
        </w:rPr>
      </w:pPr>
      <w:r>
        <w:rPr>
          <w:rFonts w:hint="eastAsia"/>
        </w:rPr>
        <w:t xml:space="preserve">JL(5)(17)(18)(19)(20)(21)(22)(23), Rosain J(5)(23)(24), Hadchouel A(6)(5)(25), </w:t>
      </w:r>
    </w:p>
    <w:p w14:paraId="782E27CF">
      <w:pPr>
        <w:pStyle w:val="2"/>
        <w:rPr>
          <w:rFonts w:hint="eastAsia"/>
        </w:rPr>
      </w:pPr>
      <w:r>
        <w:rPr>
          <w:rFonts w:hint="eastAsia"/>
        </w:rPr>
        <w:t>Delacourt C(#)(6)(5)(25), Bustamante J(#)(26)(27)(28).</w:t>
      </w:r>
    </w:p>
    <w:p w14:paraId="2D3B12F6">
      <w:pPr>
        <w:pStyle w:val="2"/>
        <w:rPr>
          <w:rFonts w:hint="eastAsia"/>
        </w:rPr>
      </w:pPr>
    </w:p>
    <w:p w14:paraId="66EB3885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3BC229D8">
      <w:pPr>
        <w:pStyle w:val="2"/>
        <w:rPr>
          <w:rFonts w:hint="eastAsia"/>
        </w:rPr>
      </w:pPr>
      <w:r>
        <w:rPr>
          <w:rFonts w:hint="eastAsia"/>
        </w:rPr>
        <w:t xml:space="preserve">(1)Department of Pediatric Pulmonology and Allergology, Reference Center for </w:t>
      </w:r>
    </w:p>
    <w:p w14:paraId="443710F2">
      <w:pPr>
        <w:pStyle w:val="2"/>
        <w:rPr>
          <w:rFonts w:hint="eastAsia"/>
        </w:rPr>
      </w:pPr>
      <w:r>
        <w:rPr>
          <w:rFonts w:hint="eastAsia"/>
        </w:rPr>
        <w:t xml:space="preserve">Rare Lung Diseases RespiRare, Necker Hospital for Sick Children, AP-HP, Paris, </w:t>
      </w:r>
    </w:p>
    <w:p w14:paraId="1D954DFF">
      <w:pPr>
        <w:pStyle w:val="2"/>
        <w:rPr>
          <w:rFonts w:hint="eastAsia"/>
        </w:rPr>
      </w:pPr>
      <w:r>
        <w:rPr>
          <w:rFonts w:hint="eastAsia"/>
        </w:rPr>
        <w:t>EU, France. vincent.freret@aphp.fr.</w:t>
      </w:r>
    </w:p>
    <w:p w14:paraId="2EF27E23">
      <w:pPr>
        <w:pStyle w:val="2"/>
        <w:rPr>
          <w:rFonts w:hint="eastAsia"/>
        </w:rPr>
      </w:pPr>
      <w:r>
        <w:rPr>
          <w:rFonts w:hint="eastAsia"/>
        </w:rPr>
        <w:t xml:space="preserve">(2)Laboratory of Human Genetics of Infectious Diseases, Necker Branch, INSERM </w:t>
      </w:r>
    </w:p>
    <w:p w14:paraId="2A8C7CF2">
      <w:pPr>
        <w:pStyle w:val="2"/>
        <w:rPr>
          <w:rFonts w:hint="eastAsia"/>
        </w:rPr>
      </w:pPr>
      <w:r>
        <w:rPr>
          <w:rFonts w:hint="eastAsia"/>
        </w:rPr>
        <w:t xml:space="preserve">UMR1163, Imagine Institute, Necker Hospital for Sick Children, Paris, EU, </w:t>
      </w:r>
    </w:p>
    <w:p w14:paraId="424FF782">
      <w:pPr>
        <w:pStyle w:val="2"/>
        <w:rPr>
          <w:rFonts w:hint="eastAsia"/>
        </w:rPr>
      </w:pPr>
      <w:r>
        <w:rPr>
          <w:rFonts w:hint="eastAsia"/>
        </w:rPr>
        <w:t>France. vincent.freret@aphp.fr.</w:t>
      </w:r>
    </w:p>
    <w:p w14:paraId="08AEF7D8">
      <w:pPr>
        <w:pStyle w:val="2"/>
        <w:rPr>
          <w:rFonts w:hint="eastAsia"/>
        </w:rPr>
      </w:pPr>
      <w:r>
        <w:rPr>
          <w:rFonts w:hint="eastAsia"/>
        </w:rPr>
        <w:t xml:space="preserve">(3)Pediatric Imaging Department, Necker Hospital for Sick Children, AP-HP, </w:t>
      </w:r>
    </w:p>
    <w:p w14:paraId="456D6763">
      <w:pPr>
        <w:pStyle w:val="2"/>
        <w:rPr>
          <w:rFonts w:hint="eastAsia"/>
        </w:rPr>
      </w:pPr>
      <w:r>
        <w:rPr>
          <w:rFonts w:hint="eastAsia"/>
        </w:rPr>
        <w:t>Paris, EU, France.</w:t>
      </w:r>
    </w:p>
    <w:p w14:paraId="71FDC79B">
      <w:pPr>
        <w:pStyle w:val="2"/>
        <w:rPr>
          <w:rFonts w:hint="eastAsia"/>
        </w:rPr>
      </w:pPr>
      <w:r>
        <w:rPr>
          <w:rFonts w:hint="eastAsia"/>
        </w:rPr>
        <w:t>(4)INSERM UMR1163, Imagine Institute, Paris, EU, France.</w:t>
      </w:r>
    </w:p>
    <w:p w14:paraId="2E6353CB">
      <w:pPr>
        <w:pStyle w:val="2"/>
        <w:rPr>
          <w:rFonts w:hint="eastAsia"/>
        </w:rPr>
      </w:pPr>
      <w:r>
        <w:rPr>
          <w:rFonts w:hint="eastAsia"/>
        </w:rPr>
        <w:t xml:space="preserve">(5)Laboratory of Human Genetics of Infectious Diseases, Necker Branch, INSERM </w:t>
      </w:r>
    </w:p>
    <w:p w14:paraId="16A6C0D2">
      <w:pPr>
        <w:pStyle w:val="2"/>
        <w:rPr>
          <w:rFonts w:hint="eastAsia"/>
        </w:rPr>
      </w:pPr>
      <w:r>
        <w:rPr>
          <w:rFonts w:hint="eastAsia"/>
        </w:rPr>
        <w:t xml:space="preserve">UMR1163, Imagine Institute, Necker Hospital for Sick Children, Paris, EU, </w:t>
      </w:r>
    </w:p>
    <w:p w14:paraId="0F2C548C">
      <w:pPr>
        <w:pStyle w:val="2"/>
        <w:rPr>
          <w:rFonts w:hint="eastAsia"/>
        </w:rPr>
      </w:pPr>
      <w:r>
        <w:rPr>
          <w:rFonts w:hint="eastAsia"/>
        </w:rPr>
        <w:t>France.</w:t>
      </w:r>
    </w:p>
    <w:p w14:paraId="52C082E3">
      <w:pPr>
        <w:pStyle w:val="2"/>
        <w:rPr>
          <w:rFonts w:hint="eastAsia"/>
        </w:rPr>
      </w:pPr>
      <w:r>
        <w:rPr>
          <w:rFonts w:hint="eastAsia"/>
        </w:rPr>
        <w:t xml:space="preserve">(6)Department of Pediatric Pulmonology and Allergology, Reference Center for </w:t>
      </w:r>
    </w:p>
    <w:p w14:paraId="5481EC7B">
      <w:pPr>
        <w:pStyle w:val="2"/>
        <w:rPr>
          <w:rFonts w:hint="eastAsia"/>
        </w:rPr>
      </w:pPr>
      <w:r>
        <w:rPr>
          <w:rFonts w:hint="eastAsia"/>
        </w:rPr>
        <w:t xml:space="preserve">Rare Lung Diseases RespiRare, Necker Hospital for Sick Children, AP-HP, Paris, </w:t>
      </w:r>
    </w:p>
    <w:p w14:paraId="14CBF5B8">
      <w:pPr>
        <w:pStyle w:val="2"/>
        <w:rPr>
          <w:rFonts w:hint="eastAsia"/>
        </w:rPr>
      </w:pPr>
      <w:r>
        <w:rPr>
          <w:rFonts w:hint="eastAsia"/>
        </w:rPr>
        <w:t>EU, France.</w:t>
      </w:r>
    </w:p>
    <w:p w14:paraId="461C36BE">
      <w:pPr>
        <w:pStyle w:val="2"/>
        <w:rPr>
          <w:rFonts w:hint="eastAsia"/>
        </w:rPr>
      </w:pPr>
      <w:r>
        <w:rPr>
          <w:rFonts w:hint="eastAsia"/>
        </w:rPr>
        <w:t xml:space="preserve">(7)Pediatric Pulmonology Department and Reference Center for Rare Lung Diseases </w:t>
      </w:r>
    </w:p>
    <w:p w14:paraId="7BC3E805">
      <w:pPr>
        <w:pStyle w:val="2"/>
        <w:rPr>
          <w:rFonts w:hint="eastAsia"/>
        </w:rPr>
      </w:pPr>
      <w:r>
        <w:rPr>
          <w:rFonts w:hint="eastAsia"/>
        </w:rPr>
        <w:t xml:space="preserve">RespiRare, University Timone Hospital for Children, AP-HM, Marseille, EU, </w:t>
      </w:r>
    </w:p>
    <w:p w14:paraId="7984E664">
      <w:pPr>
        <w:pStyle w:val="2"/>
        <w:rPr>
          <w:rFonts w:hint="eastAsia"/>
        </w:rPr>
      </w:pPr>
      <w:r>
        <w:rPr>
          <w:rFonts w:hint="eastAsia"/>
        </w:rPr>
        <w:t>France.</w:t>
      </w:r>
    </w:p>
    <w:p w14:paraId="77E9208B">
      <w:pPr>
        <w:pStyle w:val="2"/>
        <w:rPr>
          <w:rFonts w:hint="eastAsia"/>
        </w:rPr>
      </w:pPr>
      <w:r>
        <w:rPr>
          <w:rFonts w:hint="eastAsia"/>
        </w:rPr>
        <w:t xml:space="preserve">(8)Department of Pulmonology and Reference Center for Rare Lung Diseases </w:t>
      </w:r>
    </w:p>
    <w:p w14:paraId="198DCB01">
      <w:pPr>
        <w:pStyle w:val="2"/>
        <w:rPr>
          <w:rFonts w:hint="eastAsia"/>
        </w:rPr>
      </w:pPr>
      <w:r>
        <w:rPr>
          <w:rFonts w:hint="eastAsia"/>
        </w:rPr>
        <w:t>RespiRare, Armand Trousseau Hospital, Paris, EU, France.</w:t>
      </w:r>
    </w:p>
    <w:p w14:paraId="1AE04573">
      <w:pPr>
        <w:pStyle w:val="2"/>
        <w:rPr>
          <w:rFonts w:hint="eastAsia"/>
        </w:rPr>
      </w:pPr>
      <w:r>
        <w:rPr>
          <w:rFonts w:hint="eastAsia"/>
        </w:rPr>
        <w:t xml:space="preserve">(9)INSERM U938, Research Center Saint-Antoine, Sorbonne University, Paris, EU, </w:t>
      </w:r>
    </w:p>
    <w:p w14:paraId="3684187F">
      <w:pPr>
        <w:pStyle w:val="2"/>
        <w:rPr>
          <w:rFonts w:hint="eastAsia"/>
        </w:rPr>
      </w:pPr>
      <w:r>
        <w:rPr>
          <w:rFonts w:hint="eastAsia"/>
        </w:rPr>
        <w:t>France.</w:t>
      </w:r>
    </w:p>
    <w:p w14:paraId="0F659C8F">
      <w:pPr>
        <w:pStyle w:val="2"/>
        <w:rPr>
          <w:rFonts w:hint="eastAsia"/>
        </w:rPr>
      </w:pPr>
      <w:r>
        <w:rPr>
          <w:rFonts w:hint="eastAsia"/>
        </w:rPr>
        <w:t>(10)Pediatric Department, Brest University Hospital, Brest, EU, France.</w:t>
      </w:r>
    </w:p>
    <w:p w14:paraId="3E2538CD">
      <w:pPr>
        <w:pStyle w:val="2"/>
        <w:rPr>
          <w:rFonts w:hint="eastAsia"/>
        </w:rPr>
      </w:pPr>
      <w:r>
        <w:rPr>
          <w:rFonts w:hint="eastAsia"/>
        </w:rPr>
        <w:t xml:space="preserve">(11)Aix Marseille University, Marseille, EU, C2VN, INSERM 1263,INRAE 1260, </w:t>
      </w:r>
    </w:p>
    <w:p w14:paraId="648A44EC">
      <w:pPr>
        <w:pStyle w:val="2"/>
        <w:rPr>
          <w:rFonts w:hint="eastAsia"/>
        </w:rPr>
      </w:pPr>
      <w:r>
        <w:rPr>
          <w:rFonts w:hint="eastAsia"/>
        </w:rPr>
        <w:t>France.</w:t>
      </w:r>
    </w:p>
    <w:p w14:paraId="0B840DE5">
      <w:pPr>
        <w:pStyle w:val="2"/>
        <w:rPr>
          <w:rFonts w:hint="eastAsia"/>
        </w:rPr>
      </w:pPr>
      <w:r>
        <w:rPr>
          <w:rFonts w:hint="eastAsia"/>
        </w:rPr>
        <w:t xml:space="preserve">(12)Pediatric Department, Félix-Guyon University Hospital, Saint Denis, EU, </w:t>
      </w:r>
    </w:p>
    <w:p w14:paraId="28C4C289">
      <w:pPr>
        <w:pStyle w:val="2"/>
        <w:rPr>
          <w:rFonts w:hint="eastAsia"/>
        </w:rPr>
      </w:pPr>
      <w:r>
        <w:rPr>
          <w:rFonts w:hint="eastAsia"/>
        </w:rPr>
        <w:t>France.</w:t>
      </w:r>
    </w:p>
    <w:p w14:paraId="7D4AA0DD">
      <w:pPr>
        <w:pStyle w:val="2"/>
        <w:rPr>
          <w:rFonts w:hint="eastAsia"/>
        </w:rPr>
      </w:pPr>
      <w:r>
        <w:rPr>
          <w:rFonts w:hint="eastAsia"/>
        </w:rPr>
        <w:t>(13)Pediatric Department, Tours University Hospital, Tours, EU, France.</w:t>
      </w:r>
    </w:p>
    <w:p w14:paraId="57FAFCA2">
      <w:pPr>
        <w:pStyle w:val="2"/>
        <w:rPr>
          <w:rFonts w:hint="eastAsia"/>
        </w:rPr>
      </w:pPr>
      <w:r>
        <w:rPr>
          <w:rFonts w:hint="eastAsia"/>
        </w:rPr>
        <w:t xml:space="preserve">(14)Pediatric Pulmonology Unit, Couple-and-Child Hospital, Grenoble University </w:t>
      </w:r>
    </w:p>
    <w:p w14:paraId="222508F1">
      <w:pPr>
        <w:pStyle w:val="2"/>
        <w:rPr>
          <w:rFonts w:hint="eastAsia"/>
        </w:rPr>
      </w:pPr>
      <w:r>
        <w:rPr>
          <w:rFonts w:hint="eastAsia"/>
        </w:rPr>
        <w:t>Hospital, Grenoble, EU, France.</w:t>
      </w:r>
    </w:p>
    <w:p w14:paraId="65271298">
      <w:pPr>
        <w:pStyle w:val="2"/>
        <w:rPr>
          <w:rFonts w:hint="eastAsia"/>
        </w:rPr>
      </w:pPr>
      <w:r>
        <w:rPr>
          <w:rFonts w:hint="eastAsia"/>
        </w:rPr>
        <w:t xml:space="preserve">(15)Pediatric Pulmonology Department, Lille University Hospital, Lille, EU, </w:t>
      </w:r>
    </w:p>
    <w:p w14:paraId="65165A34">
      <w:pPr>
        <w:pStyle w:val="2"/>
        <w:rPr>
          <w:rFonts w:hint="eastAsia"/>
        </w:rPr>
      </w:pPr>
      <w:r>
        <w:rPr>
          <w:rFonts w:hint="eastAsia"/>
        </w:rPr>
        <w:t>France.</w:t>
      </w:r>
    </w:p>
    <w:p w14:paraId="3F3CC33F">
      <w:pPr>
        <w:pStyle w:val="2"/>
        <w:rPr>
          <w:rFonts w:hint="eastAsia"/>
        </w:rPr>
      </w:pPr>
      <w:r>
        <w:rPr>
          <w:rFonts w:hint="eastAsia"/>
        </w:rPr>
        <w:t xml:space="preserve">(16)Laboratory of Childhood Genetic Diseases, UMR_S933, Sorbonne University, </w:t>
      </w:r>
    </w:p>
    <w:p w14:paraId="5303DEAF">
      <w:pPr>
        <w:pStyle w:val="2"/>
        <w:rPr>
          <w:rFonts w:hint="eastAsia"/>
        </w:rPr>
      </w:pPr>
      <w:r>
        <w:rPr>
          <w:rFonts w:hint="eastAsia"/>
        </w:rPr>
        <w:t>INSERM, Armand Trousseau Hospital, Paris, EU, France.</w:t>
      </w:r>
    </w:p>
    <w:p w14:paraId="1A460261">
      <w:pPr>
        <w:pStyle w:val="2"/>
        <w:rPr>
          <w:rFonts w:hint="eastAsia"/>
        </w:rPr>
      </w:pPr>
      <w:r>
        <w:rPr>
          <w:rFonts w:hint="eastAsia"/>
        </w:rPr>
        <w:t xml:space="preserve">(17)Laboratory of Human Genetics of Infectious Diseases, University of Texas </w:t>
      </w:r>
    </w:p>
    <w:p w14:paraId="107CD6B7">
      <w:pPr>
        <w:pStyle w:val="2"/>
        <w:rPr>
          <w:rFonts w:hint="eastAsia"/>
        </w:rPr>
      </w:pPr>
      <w:r>
        <w:rPr>
          <w:rFonts w:hint="eastAsia"/>
        </w:rPr>
        <w:t>Southwestern Medical Center, Dallas, TX, USA.</w:t>
      </w:r>
    </w:p>
    <w:p w14:paraId="0912F622">
      <w:pPr>
        <w:pStyle w:val="2"/>
        <w:rPr>
          <w:rFonts w:hint="eastAsia"/>
        </w:rPr>
      </w:pPr>
      <w:r>
        <w:rPr>
          <w:rFonts w:hint="eastAsia"/>
        </w:rPr>
        <w:t xml:space="preserve">(18)Center for the Genetics of Host Defense, University of Texas Southwestern </w:t>
      </w:r>
    </w:p>
    <w:p w14:paraId="45AA1F4D">
      <w:pPr>
        <w:pStyle w:val="2"/>
        <w:rPr>
          <w:rFonts w:hint="eastAsia"/>
        </w:rPr>
      </w:pPr>
      <w:r>
        <w:rPr>
          <w:rFonts w:hint="eastAsia"/>
        </w:rPr>
        <w:t>Medical Center, Dallas, TX, USA.</w:t>
      </w:r>
    </w:p>
    <w:p w14:paraId="27D6B6F2">
      <w:pPr>
        <w:pStyle w:val="2"/>
        <w:rPr>
          <w:rFonts w:hint="eastAsia"/>
        </w:rPr>
      </w:pPr>
      <w:r>
        <w:rPr>
          <w:rFonts w:hint="eastAsia"/>
        </w:rPr>
        <w:t>(19)Howard Hughes Medical Institute, Dallas, TX, USA.</w:t>
      </w:r>
    </w:p>
    <w:p w14:paraId="775EDEA6">
      <w:pPr>
        <w:pStyle w:val="2"/>
        <w:rPr>
          <w:rFonts w:hint="eastAsia"/>
        </w:rPr>
      </w:pPr>
      <w:r>
        <w:rPr>
          <w:rFonts w:hint="eastAsia"/>
        </w:rPr>
        <w:t xml:space="preserve">(20)Department of Immunology, University of Texas Southwestern Medical Center, </w:t>
      </w:r>
    </w:p>
    <w:p w14:paraId="2EAC4B77">
      <w:pPr>
        <w:pStyle w:val="2"/>
        <w:rPr>
          <w:rFonts w:hint="eastAsia"/>
        </w:rPr>
      </w:pPr>
      <w:r>
        <w:rPr>
          <w:rFonts w:hint="eastAsia"/>
        </w:rPr>
        <w:t>Dallas, TX, USA.</w:t>
      </w:r>
    </w:p>
    <w:p w14:paraId="2A170FA5">
      <w:pPr>
        <w:pStyle w:val="2"/>
        <w:rPr>
          <w:rFonts w:hint="eastAsia"/>
        </w:rPr>
      </w:pPr>
      <w:r>
        <w:rPr>
          <w:rFonts w:hint="eastAsia"/>
        </w:rPr>
        <w:t xml:space="preserve">(21)Children's Medical Center Research Institute, University of Texas </w:t>
      </w:r>
    </w:p>
    <w:p w14:paraId="583E0042">
      <w:pPr>
        <w:pStyle w:val="2"/>
        <w:rPr>
          <w:rFonts w:hint="eastAsia"/>
        </w:rPr>
      </w:pPr>
      <w:r>
        <w:rPr>
          <w:rFonts w:hint="eastAsia"/>
        </w:rPr>
        <w:t>Southwestern Medical Center, Dallas, TX, USA.</w:t>
      </w:r>
    </w:p>
    <w:p w14:paraId="49C20EBD">
      <w:pPr>
        <w:pStyle w:val="2"/>
        <w:rPr>
          <w:rFonts w:hint="eastAsia"/>
        </w:rPr>
      </w:pPr>
      <w:r>
        <w:rPr>
          <w:rFonts w:hint="eastAsia"/>
        </w:rPr>
        <w:t xml:space="preserve">(22)Department of Pediatrics, Necker Hospital for Sick Children, AP-HP, Paris, </w:t>
      </w:r>
    </w:p>
    <w:p w14:paraId="18A45A6A">
      <w:pPr>
        <w:pStyle w:val="2"/>
        <w:rPr>
          <w:rFonts w:hint="eastAsia"/>
        </w:rPr>
      </w:pPr>
      <w:r>
        <w:rPr>
          <w:rFonts w:hint="eastAsia"/>
        </w:rPr>
        <w:t>EU, France.</w:t>
      </w:r>
    </w:p>
    <w:p w14:paraId="1BCF1A69">
      <w:pPr>
        <w:pStyle w:val="2"/>
        <w:rPr>
          <w:rFonts w:hint="eastAsia"/>
        </w:rPr>
      </w:pPr>
      <w:r>
        <w:rPr>
          <w:rFonts w:hint="eastAsia"/>
        </w:rPr>
        <w:t xml:space="preserve">(23)Institut Imagine, Laboratory of Human Genetics of Infectious Diseases, UMR </w:t>
      </w:r>
    </w:p>
    <w:p w14:paraId="017F95E4">
      <w:pPr>
        <w:pStyle w:val="2"/>
        <w:rPr>
          <w:rFonts w:hint="eastAsia"/>
        </w:rPr>
      </w:pPr>
      <w:r>
        <w:rPr>
          <w:rFonts w:hint="eastAsia"/>
        </w:rPr>
        <w:t>1163, Université Paris Cité, INSERM, Necker Branch, Paris, 75015, France.</w:t>
      </w:r>
    </w:p>
    <w:p w14:paraId="4ABB24A0">
      <w:pPr>
        <w:pStyle w:val="2"/>
        <w:rPr>
          <w:rFonts w:hint="eastAsia"/>
        </w:rPr>
      </w:pPr>
      <w:r>
        <w:rPr>
          <w:rFonts w:hint="eastAsia"/>
        </w:rPr>
        <w:t xml:space="preserve">(24)Center for the Study of Primary Immunodeficiencies, Necker Hospital for Sick </w:t>
      </w:r>
    </w:p>
    <w:p w14:paraId="3EAF642C">
      <w:pPr>
        <w:pStyle w:val="2"/>
        <w:rPr>
          <w:rFonts w:hint="eastAsia"/>
        </w:rPr>
      </w:pPr>
      <w:r>
        <w:rPr>
          <w:rFonts w:hint="eastAsia"/>
        </w:rPr>
        <w:t>Children, AP-HP, Paris, EU, France.</w:t>
      </w:r>
    </w:p>
    <w:p w14:paraId="789BBCBE">
      <w:pPr>
        <w:pStyle w:val="2"/>
        <w:rPr>
          <w:rFonts w:hint="eastAsia"/>
        </w:rPr>
      </w:pPr>
      <w:r>
        <w:rPr>
          <w:rFonts w:hint="eastAsia"/>
        </w:rPr>
        <w:t xml:space="preserve">(25)INSERM U1151, Institut Necker Enfants Malades, Université Paris Cité, Paris, </w:t>
      </w:r>
    </w:p>
    <w:p w14:paraId="44502204">
      <w:pPr>
        <w:pStyle w:val="2"/>
        <w:rPr>
          <w:rFonts w:hint="eastAsia"/>
        </w:rPr>
      </w:pPr>
      <w:r>
        <w:rPr>
          <w:rFonts w:hint="eastAsia"/>
        </w:rPr>
        <w:t>EU, France.</w:t>
      </w:r>
    </w:p>
    <w:p w14:paraId="501C038A">
      <w:pPr>
        <w:pStyle w:val="2"/>
        <w:rPr>
          <w:rFonts w:hint="eastAsia"/>
        </w:rPr>
      </w:pPr>
      <w:r>
        <w:rPr>
          <w:rFonts w:hint="eastAsia"/>
        </w:rPr>
        <w:t xml:space="preserve">(26)Laboratory of Human Genetics of Infectious Diseases, Necker Branch, INSERM </w:t>
      </w:r>
    </w:p>
    <w:p w14:paraId="783F5ABE">
      <w:pPr>
        <w:pStyle w:val="2"/>
        <w:rPr>
          <w:rFonts w:hint="eastAsia"/>
        </w:rPr>
      </w:pPr>
      <w:r>
        <w:rPr>
          <w:rFonts w:hint="eastAsia"/>
        </w:rPr>
        <w:t xml:space="preserve">UMR1163, Imagine Institute, Necker Hospital for Sick Children, Paris, EU, </w:t>
      </w:r>
    </w:p>
    <w:p w14:paraId="288C0D3D">
      <w:pPr>
        <w:pStyle w:val="2"/>
        <w:rPr>
          <w:rFonts w:hint="eastAsia"/>
        </w:rPr>
      </w:pPr>
      <w:r>
        <w:rPr>
          <w:rFonts w:hint="eastAsia"/>
        </w:rPr>
        <w:t>France. jacinta.bustamante@inserm.fr.</w:t>
      </w:r>
    </w:p>
    <w:p w14:paraId="5259BC68">
      <w:pPr>
        <w:pStyle w:val="2"/>
        <w:rPr>
          <w:rFonts w:hint="eastAsia"/>
        </w:rPr>
      </w:pPr>
      <w:r>
        <w:rPr>
          <w:rFonts w:hint="eastAsia"/>
        </w:rPr>
        <w:t xml:space="preserve">(27)Institut Imagine, Laboratory of Human Genetics of Infectious Diseases, UMR </w:t>
      </w:r>
    </w:p>
    <w:p w14:paraId="0CBCC9B0">
      <w:pPr>
        <w:pStyle w:val="2"/>
        <w:rPr>
          <w:rFonts w:hint="eastAsia"/>
        </w:rPr>
      </w:pPr>
      <w:r>
        <w:rPr>
          <w:rFonts w:hint="eastAsia"/>
        </w:rPr>
        <w:t xml:space="preserve">1163, Université Paris Cité, INSERM, Necker Branch, Paris, 75015, France. </w:t>
      </w:r>
    </w:p>
    <w:p w14:paraId="0417CCD2">
      <w:pPr>
        <w:pStyle w:val="2"/>
        <w:rPr>
          <w:rFonts w:hint="eastAsia"/>
        </w:rPr>
      </w:pPr>
      <w:r>
        <w:rPr>
          <w:rFonts w:hint="eastAsia"/>
        </w:rPr>
        <w:t>jacinta.bustamante@inserm.fr.</w:t>
      </w:r>
    </w:p>
    <w:p w14:paraId="37335E06">
      <w:pPr>
        <w:pStyle w:val="2"/>
        <w:rPr>
          <w:rFonts w:hint="eastAsia"/>
        </w:rPr>
      </w:pPr>
      <w:r>
        <w:rPr>
          <w:rFonts w:hint="eastAsia"/>
        </w:rPr>
        <w:t xml:space="preserve">(28)Center for the Study of Primary Immunodeficiencies, Necker Hospital for Sick </w:t>
      </w:r>
    </w:p>
    <w:p w14:paraId="5B8FB196">
      <w:pPr>
        <w:pStyle w:val="2"/>
        <w:rPr>
          <w:rFonts w:hint="eastAsia"/>
        </w:rPr>
      </w:pPr>
      <w:r>
        <w:rPr>
          <w:rFonts w:hint="eastAsia"/>
        </w:rPr>
        <w:t>Children, AP-HP, Paris, EU, France. jacinta.bustamante@inserm.fr.</w:t>
      </w:r>
    </w:p>
    <w:p w14:paraId="72451E98">
      <w:pPr>
        <w:pStyle w:val="2"/>
        <w:rPr>
          <w:rFonts w:hint="eastAsia"/>
        </w:rPr>
      </w:pPr>
      <w:r>
        <w:rPr>
          <w:rFonts w:hint="eastAsia"/>
        </w:rPr>
        <w:t>(#)Contributed equally</w:t>
      </w:r>
    </w:p>
    <w:p w14:paraId="5A4048C1">
      <w:pPr>
        <w:pStyle w:val="2"/>
        <w:rPr>
          <w:rFonts w:hint="eastAsia"/>
        </w:rPr>
      </w:pPr>
    </w:p>
    <w:p w14:paraId="744C381D">
      <w:pPr>
        <w:pStyle w:val="2"/>
        <w:rPr>
          <w:rFonts w:hint="eastAsia"/>
        </w:rPr>
      </w:pPr>
      <w:r>
        <w:rPr>
          <w:rFonts w:hint="eastAsia"/>
        </w:rPr>
        <w:t xml:space="preserve">Airway compression caused by intrathoracic non-tuberculous mycobacteria (NTM) </w:t>
      </w:r>
    </w:p>
    <w:p w14:paraId="77857B95">
      <w:pPr>
        <w:pStyle w:val="2"/>
        <w:rPr>
          <w:rFonts w:hint="eastAsia"/>
        </w:rPr>
      </w:pPr>
      <w:r>
        <w:rPr>
          <w:rFonts w:hint="eastAsia"/>
        </w:rPr>
        <w:t xml:space="preserve">lymphadenitis is particularly uncommon in otherwise healthy children and remains </w:t>
      </w:r>
    </w:p>
    <w:p w14:paraId="0246615C">
      <w:pPr>
        <w:pStyle w:val="2"/>
        <w:rPr>
          <w:rFonts w:hint="eastAsia"/>
        </w:rPr>
      </w:pPr>
      <w:r>
        <w:rPr>
          <w:rFonts w:hint="eastAsia"/>
        </w:rPr>
        <w:t xml:space="preserve">poorly characterized. We aimed to describe the clinical, radiological, </w:t>
      </w:r>
    </w:p>
    <w:p w14:paraId="46B2E7AD">
      <w:pPr>
        <w:pStyle w:val="2"/>
        <w:rPr>
          <w:rFonts w:hint="eastAsia"/>
        </w:rPr>
      </w:pPr>
      <w:r>
        <w:rPr>
          <w:rFonts w:hint="eastAsia"/>
        </w:rPr>
        <w:t xml:space="preserve">microbiological, and immunological features of a French pediatric cohort </w:t>
      </w:r>
    </w:p>
    <w:p w14:paraId="36458F86">
      <w:pPr>
        <w:pStyle w:val="2"/>
        <w:rPr>
          <w:rFonts w:hint="eastAsia"/>
        </w:rPr>
      </w:pPr>
      <w:r>
        <w:rPr>
          <w:rFonts w:hint="eastAsia"/>
        </w:rPr>
        <w:t xml:space="preserve">diagnosed with mediastinal Mycobacterium avium complex (MAC) lymphadenitis. We </w:t>
      </w:r>
    </w:p>
    <w:p w14:paraId="08B89E73">
      <w:pPr>
        <w:pStyle w:val="2"/>
        <w:rPr>
          <w:rFonts w:hint="eastAsia"/>
        </w:rPr>
      </w:pPr>
      <w:r>
        <w:rPr>
          <w:rFonts w:hint="eastAsia"/>
        </w:rPr>
        <w:t xml:space="preserve">conducted a retrospective multicenter study that included children diagnosed </w:t>
      </w:r>
    </w:p>
    <w:p w14:paraId="19B6ACD5">
      <w:pPr>
        <w:pStyle w:val="2"/>
        <w:rPr>
          <w:rFonts w:hint="eastAsia"/>
        </w:rPr>
      </w:pPr>
      <w:r>
        <w:rPr>
          <w:rFonts w:hint="eastAsia"/>
        </w:rPr>
        <w:t xml:space="preserve">with bacteriologically confirmed intrathoracic MAC lymphadenitis in France </w:t>
      </w:r>
    </w:p>
    <w:p w14:paraId="703AB4BC">
      <w:pPr>
        <w:pStyle w:val="2"/>
        <w:rPr>
          <w:rFonts w:hint="eastAsia"/>
        </w:rPr>
      </w:pPr>
      <w:r>
        <w:rPr>
          <w:rFonts w:hint="eastAsia"/>
        </w:rPr>
        <w:t xml:space="preserve">between 2009 and 2024. Patients with HIV-related immunodeficiency or known </w:t>
      </w:r>
    </w:p>
    <w:p w14:paraId="36D3C96D">
      <w:pPr>
        <w:pStyle w:val="2"/>
        <w:rPr>
          <w:rFonts w:hint="eastAsia"/>
        </w:rPr>
      </w:pPr>
      <w:r>
        <w:rPr>
          <w:rFonts w:hint="eastAsia"/>
        </w:rPr>
        <w:t xml:space="preserve">inborn errors of immunity were excluded. Immunological investigations were </w:t>
      </w:r>
    </w:p>
    <w:p w14:paraId="0B4ABBCB">
      <w:pPr>
        <w:pStyle w:val="2"/>
        <w:rPr>
          <w:rFonts w:hint="eastAsia"/>
        </w:rPr>
      </w:pPr>
      <w:r>
        <w:rPr>
          <w:rFonts w:hint="eastAsia"/>
        </w:rPr>
        <w:t xml:space="preserve">performed, including the secretion of IL-12 and IFN-γ by a whole-blood assay. </w:t>
      </w:r>
    </w:p>
    <w:p w14:paraId="4B153CB5">
      <w:pPr>
        <w:pStyle w:val="2"/>
        <w:rPr>
          <w:rFonts w:hint="eastAsia"/>
        </w:rPr>
      </w:pPr>
      <w:r>
        <w:rPr>
          <w:rFonts w:hint="eastAsia"/>
        </w:rPr>
        <w:t xml:space="preserve">Ten children with intrathoracic MAC lymphadenitis with airway compression were </w:t>
      </w:r>
    </w:p>
    <w:p w14:paraId="1BE69348">
      <w:pPr>
        <w:pStyle w:val="2"/>
        <w:rPr>
          <w:rFonts w:hint="eastAsia"/>
        </w:rPr>
      </w:pPr>
      <w:r>
        <w:rPr>
          <w:rFonts w:hint="eastAsia"/>
        </w:rPr>
        <w:t xml:space="preserve">included. In most cases, the diagnosis required invasive sampling. Mycobacterium </w:t>
      </w:r>
    </w:p>
    <w:p w14:paraId="661018BC">
      <w:pPr>
        <w:pStyle w:val="2"/>
        <w:rPr>
          <w:rFonts w:hint="eastAsia"/>
        </w:rPr>
      </w:pPr>
      <w:r>
        <w:rPr>
          <w:rFonts w:hint="eastAsia"/>
        </w:rPr>
        <w:t xml:space="preserve">avium was identified in nine patients and M. intracellulare in one patient. Main </w:t>
      </w:r>
    </w:p>
    <w:p w14:paraId="5F1F8215">
      <w:pPr>
        <w:pStyle w:val="2"/>
        <w:rPr>
          <w:rFonts w:hint="eastAsia"/>
        </w:rPr>
      </w:pPr>
      <w:r>
        <w:rPr>
          <w:rFonts w:hint="eastAsia"/>
        </w:rPr>
        <w:t xml:space="preserve">respiratory manifestations were dyspnea, persistent cough, and abnormal breath </w:t>
      </w:r>
    </w:p>
    <w:p w14:paraId="688264E1">
      <w:pPr>
        <w:pStyle w:val="2"/>
        <w:rPr>
          <w:rFonts w:hint="eastAsia"/>
        </w:rPr>
      </w:pPr>
      <w:r>
        <w:rPr>
          <w:rFonts w:hint="eastAsia"/>
        </w:rPr>
        <w:t xml:space="preserve">sounds. Chest computed tomography (CT) scans revealed mediastinal </w:t>
      </w:r>
    </w:p>
    <w:p w14:paraId="09B47D9C">
      <w:pPr>
        <w:pStyle w:val="2"/>
        <w:rPr>
          <w:rFonts w:hint="eastAsia"/>
        </w:rPr>
      </w:pPr>
      <w:r>
        <w:rPr>
          <w:rFonts w:hint="eastAsia"/>
        </w:rPr>
        <w:t xml:space="preserve">lymphadenopathies causing airway compression, ventilation disorders, and air </w:t>
      </w:r>
    </w:p>
    <w:p w14:paraId="1AE692DA">
      <w:pPr>
        <w:pStyle w:val="2"/>
        <w:rPr>
          <w:rFonts w:hint="eastAsia"/>
        </w:rPr>
      </w:pPr>
      <w:r>
        <w:rPr>
          <w:rFonts w:hint="eastAsia"/>
        </w:rPr>
        <w:t xml:space="preserve">trapping. Following prolonged antibiotic treatment, all patients showed clinical </w:t>
      </w:r>
    </w:p>
    <w:p w14:paraId="31CCBDD3">
      <w:pPr>
        <w:pStyle w:val="2"/>
        <w:rPr>
          <w:rFonts w:hint="eastAsia"/>
        </w:rPr>
      </w:pPr>
      <w:r>
        <w:rPr>
          <w:rFonts w:hint="eastAsia"/>
        </w:rPr>
        <w:t xml:space="preserve">improvement and a reduction in lymph node size, although residual calcifications </w:t>
      </w:r>
    </w:p>
    <w:p w14:paraId="18965332">
      <w:pPr>
        <w:pStyle w:val="2"/>
        <w:rPr>
          <w:rFonts w:hint="eastAsia"/>
        </w:rPr>
      </w:pPr>
      <w:r>
        <w:rPr>
          <w:rFonts w:hint="eastAsia"/>
        </w:rPr>
        <w:t xml:space="preserve">frequently persisted. IFN-γ secretion was impaired in all five patients who </w:t>
      </w:r>
    </w:p>
    <w:p w14:paraId="7336A8F0">
      <w:pPr>
        <w:pStyle w:val="2"/>
        <w:rPr>
          <w:rFonts w:hint="eastAsia"/>
        </w:rPr>
      </w:pPr>
      <w:r>
        <w:rPr>
          <w:rFonts w:hint="eastAsia"/>
        </w:rPr>
        <w:t xml:space="preserve">underwent specific immunological testing, consistently lower compared with </w:t>
      </w:r>
    </w:p>
    <w:p w14:paraId="1A1CFE15">
      <w:pPr>
        <w:pStyle w:val="2"/>
        <w:rPr>
          <w:rFonts w:hint="eastAsia"/>
        </w:rPr>
      </w:pPr>
      <w:r>
        <w:rPr>
          <w:rFonts w:hint="eastAsia"/>
        </w:rPr>
        <w:t>healthy controls.</w:t>
      </w:r>
    </w:p>
    <w:p w14:paraId="54D30E62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CONCLUSION: </w:t>
      </w:r>
      <w:r>
        <w:rPr>
          <w:rFonts w:hint="eastAsia"/>
        </w:rPr>
        <w:t xml:space="preserve">This study highlights a rare presentation of airway compression in </w:t>
      </w:r>
    </w:p>
    <w:p w14:paraId="247F5096">
      <w:pPr>
        <w:pStyle w:val="2"/>
        <w:rPr>
          <w:rFonts w:hint="eastAsia"/>
        </w:rPr>
      </w:pPr>
      <w:r>
        <w:rPr>
          <w:rFonts w:hint="eastAsia"/>
        </w:rPr>
        <w:t xml:space="preserve">children characterized by MAC mediastinal lymphadenitis. These findings </w:t>
      </w:r>
    </w:p>
    <w:p w14:paraId="67D41897">
      <w:pPr>
        <w:pStyle w:val="2"/>
        <w:rPr>
          <w:rFonts w:hint="eastAsia"/>
        </w:rPr>
      </w:pPr>
      <w:r>
        <w:rPr>
          <w:rFonts w:hint="eastAsia"/>
        </w:rPr>
        <w:t xml:space="preserve">underscore the importance of considering NTM infections in the differential </w:t>
      </w:r>
    </w:p>
    <w:p w14:paraId="5CD255F0">
      <w:pPr>
        <w:pStyle w:val="2"/>
        <w:rPr>
          <w:rFonts w:hint="eastAsia"/>
        </w:rPr>
      </w:pPr>
      <w:r>
        <w:rPr>
          <w:rFonts w:hint="eastAsia"/>
        </w:rPr>
        <w:t xml:space="preserve">diagnosis of persistent mediastinal lymphadenitis in young children and </w:t>
      </w:r>
    </w:p>
    <w:p w14:paraId="2D37D3C0">
      <w:pPr>
        <w:pStyle w:val="2"/>
        <w:rPr>
          <w:rFonts w:hint="eastAsia"/>
        </w:rPr>
      </w:pPr>
      <w:r>
        <w:rPr>
          <w:rFonts w:hint="eastAsia"/>
        </w:rPr>
        <w:t xml:space="preserve">highlight the frequent need for invasive sampling to establish a microbiological </w:t>
      </w:r>
    </w:p>
    <w:p w14:paraId="48198427">
      <w:pPr>
        <w:pStyle w:val="2"/>
        <w:rPr>
          <w:rFonts w:hint="eastAsia"/>
        </w:rPr>
      </w:pPr>
      <w:r>
        <w:rPr>
          <w:rFonts w:hint="eastAsia"/>
        </w:rPr>
        <w:t xml:space="preserve">diagnosis. Although no overt immunodeficiency was identified, immune evaluation, </w:t>
      </w:r>
    </w:p>
    <w:p w14:paraId="50310A5A">
      <w:pPr>
        <w:pStyle w:val="2"/>
        <w:rPr>
          <w:rFonts w:hint="eastAsia"/>
        </w:rPr>
      </w:pPr>
      <w:r>
        <w:rPr>
          <w:rFonts w:hint="eastAsia"/>
        </w:rPr>
        <w:t xml:space="preserve">particularly exploration of the IFN-γ-mediated immunity, may be relevant in </w:t>
      </w:r>
    </w:p>
    <w:p w14:paraId="13C1D815">
      <w:pPr>
        <w:pStyle w:val="2"/>
        <w:rPr>
          <w:rFonts w:hint="eastAsia"/>
        </w:rPr>
      </w:pPr>
      <w:r>
        <w:rPr>
          <w:rFonts w:hint="eastAsia"/>
        </w:rPr>
        <w:t>these patients.</w:t>
      </w:r>
    </w:p>
    <w:p w14:paraId="104A5D07">
      <w:pPr>
        <w:pStyle w:val="2"/>
        <w:rPr>
          <w:rFonts w:hint="eastAsia"/>
        </w:rPr>
      </w:pPr>
      <w:r>
        <w:rPr>
          <w:rFonts w:hint="eastAsia"/>
          <w:b/>
          <w:bCs/>
        </w:rPr>
        <w:t>WHAT IS KNOWN: •</w:t>
      </w:r>
      <w:r>
        <w:rPr>
          <w:rFonts w:hint="eastAsia"/>
        </w:rPr>
        <w:t xml:space="preserve"> Mediastinal lymphadenitis caused by non-tuberculous </w:t>
      </w:r>
    </w:p>
    <w:p w14:paraId="03F1C70C">
      <w:pPr>
        <w:pStyle w:val="2"/>
        <w:rPr>
          <w:rFonts w:hint="eastAsia"/>
        </w:rPr>
      </w:pPr>
      <w:r>
        <w:rPr>
          <w:rFonts w:hint="eastAsia"/>
        </w:rPr>
        <w:t xml:space="preserve">mycobacteria (NTM) is a rare condition, mainly reported in immunocompromised </w:t>
      </w:r>
    </w:p>
    <w:p w14:paraId="2A0D5118">
      <w:pPr>
        <w:pStyle w:val="2"/>
        <w:rPr>
          <w:rFonts w:hint="eastAsia"/>
        </w:rPr>
      </w:pPr>
      <w:r>
        <w:rPr>
          <w:rFonts w:hint="eastAsia"/>
        </w:rPr>
        <w:t xml:space="preserve">patients, and often mimics tuberculosis on imaging. • Diagnosis is challenging </w:t>
      </w:r>
    </w:p>
    <w:p w14:paraId="7C5EF82F">
      <w:pPr>
        <w:pStyle w:val="2"/>
        <w:rPr>
          <w:rFonts w:hint="eastAsia"/>
        </w:rPr>
      </w:pPr>
      <w:r>
        <w:rPr>
          <w:rFonts w:hint="eastAsia"/>
        </w:rPr>
        <w:t xml:space="preserve">due to nonspecific clinical and radiological findings, and it relies on </w:t>
      </w:r>
    </w:p>
    <w:p w14:paraId="000A70B6">
      <w:pPr>
        <w:pStyle w:val="2"/>
        <w:rPr>
          <w:rFonts w:hint="eastAsia"/>
        </w:rPr>
      </w:pPr>
      <w:r>
        <w:rPr>
          <w:rFonts w:hint="eastAsia"/>
        </w:rPr>
        <w:t>microbiological confirmation.</w:t>
      </w:r>
    </w:p>
    <w:p w14:paraId="674FE60E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WHAT IS NEW: </w:t>
      </w:r>
      <w:r>
        <w:rPr>
          <w:rFonts w:hint="eastAsia"/>
        </w:rPr>
        <w:t xml:space="preserve">• In this cohort, intrathoracic MAC infection in young children </w:t>
      </w:r>
    </w:p>
    <w:p w14:paraId="036B9C66">
      <w:pPr>
        <w:pStyle w:val="2"/>
        <w:rPr>
          <w:rFonts w:hint="eastAsia"/>
        </w:rPr>
      </w:pPr>
      <w:r>
        <w:rPr>
          <w:rFonts w:hint="eastAsia"/>
        </w:rPr>
        <w:t xml:space="preserve">presented as airway-compressive mediastinal lymphadenitis rather than classical </w:t>
      </w:r>
    </w:p>
    <w:p w14:paraId="13A88BA7">
      <w:pPr>
        <w:pStyle w:val="2"/>
        <w:rPr>
          <w:rFonts w:hint="eastAsia"/>
        </w:rPr>
      </w:pPr>
      <w:r>
        <w:rPr>
          <w:rFonts w:hint="eastAsia"/>
        </w:rPr>
        <w:t xml:space="preserve">parenchymal pulmonary NTM disease. • Bronchoalveolar lavage had a low diagnostic </w:t>
      </w:r>
    </w:p>
    <w:p w14:paraId="1017DD08">
      <w:pPr>
        <w:pStyle w:val="2"/>
        <w:rPr>
          <w:rFonts w:hint="eastAsia"/>
        </w:rPr>
      </w:pPr>
      <w:r>
        <w:rPr>
          <w:rFonts w:hint="eastAsia"/>
        </w:rPr>
        <w:t xml:space="preserve">yield, and most cases required targeted lymph node or endobronchial granuloma </w:t>
      </w:r>
    </w:p>
    <w:p w14:paraId="30BFE5C7">
      <w:pPr>
        <w:pStyle w:val="2"/>
        <w:rPr>
          <w:rFonts w:hint="eastAsia"/>
        </w:rPr>
      </w:pPr>
      <w:r>
        <w:rPr>
          <w:rFonts w:hint="eastAsia"/>
        </w:rPr>
        <w:t xml:space="preserve">sampling. • A subset of tested patients showed reduced IFN-γ secretion despite </w:t>
      </w:r>
    </w:p>
    <w:p w14:paraId="07BE60D3">
      <w:pPr>
        <w:pStyle w:val="2"/>
        <w:rPr>
          <w:rFonts w:hint="eastAsia"/>
        </w:rPr>
      </w:pPr>
      <w:r>
        <w:rPr>
          <w:rFonts w:hint="eastAsia"/>
        </w:rPr>
        <w:t>the absence of a known monogenic immunodeficiency.</w:t>
      </w:r>
    </w:p>
    <w:p w14:paraId="01AB226C">
      <w:pPr>
        <w:pStyle w:val="2"/>
        <w:rPr>
          <w:rFonts w:hint="eastAsia"/>
        </w:rPr>
      </w:pPr>
    </w:p>
    <w:p w14:paraId="3D436956">
      <w:pPr>
        <w:pStyle w:val="2"/>
        <w:rPr>
          <w:rFonts w:hint="eastAsia"/>
        </w:rPr>
      </w:pPr>
      <w:r>
        <w:rPr>
          <w:rFonts w:hint="eastAsia"/>
        </w:rPr>
        <w:t xml:space="preserve">© 2026. The Author(s), under exclusive licence to Springer-Verlag GmbH Germany, </w:t>
      </w:r>
    </w:p>
    <w:p w14:paraId="0BAD7A2A">
      <w:pPr>
        <w:pStyle w:val="2"/>
        <w:rPr>
          <w:rFonts w:hint="eastAsia"/>
        </w:rPr>
      </w:pPr>
      <w:r>
        <w:rPr>
          <w:rFonts w:hint="eastAsia"/>
        </w:rPr>
        <w:t>part of Springer Nature.</w:t>
      </w:r>
    </w:p>
    <w:p w14:paraId="1B05641E">
      <w:pPr>
        <w:pStyle w:val="2"/>
        <w:rPr>
          <w:rFonts w:hint="eastAsia"/>
        </w:rPr>
      </w:pPr>
    </w:p>
    <w:p w14:paraId="35AE707E">
      <w:pPr>
        <w:pStyle w:val="2"/>
        <w:rPr>
          <w:rFonts w:hint="eastAsia"/>
        </w:rPr>
      </w:pPr>
      <w:r>
        <w:rPr>
          <w:rFonts w:hint="eastAsia"/>
        </w:rPr>
        <w:t>DOI: 10.1007/s00431-026-07470-9</w:t>
      </w:r>
    </w:p>
    <w:p w14:paraId="66BE2A07">
      <w:pPr>
        <w:pStyle w:val="2"/>
        <w:rPr>
          <w:rFonts w:hint="eastAsia"/>
        </w:rPr>
      </w:pPr>
      <w:r>
        <w:rPr>
          <w:rFonts w:hint="eastAsia"/>
        </w:rPr>
        <w:t>PMID: 42850474 [Indexed for MEDLINE]</w:t>
      </w:r>
    </w:p>
    <w:p w14:paraId="6B31A743">
      <w:pPr>
        <w:pStyle w:val="2"/>
        <w:rPr>
          <w:rFonts w:hint="eastAsia"/>
        </w:rPr>
      </w:pPr>
    </w:p>
    <w:p w14:paraId="320451DB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2</w:t>
      </w:r>
      <w:r>
        <w:rPr>
          <w:rFonts w:hint="eastAsia"/>
          <w:b/>
          <w:bCs/>
          <w:color w:val="FF0000"/>
          <w:lang w:val="en-US" w:eastAsia="zh-CN"/>
        </w:rPr>
        <w:t>2</w:t>
      </w:r>
      <w:r>
        <w:rPr>
          <w:rFonts w:hint="eastAsia"/>
          <w:b/>
          <w:bCs/>
          <w:color w:val="FF0000"/>
        </w:rPr>
        <w:t xml:space="preserve">. Arch Dis Child. 2026 Oct 8:archdischild-2026-331122. doi: </w:t>
      </w:r>
    </w:p>
    <w:p w14:paraId="6635B0D6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10.1136/archdischild-2026-331122. Online ahead of print.</w:t>
      </w:r>
    </w:p>
    <w:p w14:paraId="665F0ED0">
      <w:pPr>
        <w:pStyle w:val="2"/>
        <w:rPr>
          <w:rFonts w:hint="eastAsia"/>
        </w:rPr>
      </w:pPr>
    </w:p>
    <w:p w14:paraId="4B0ABABD">
      <w:pPr>
        <w:pStyle w:val="2"/>
        <w:rPr>
          <w:rFonts w:hint="eastAsia"/>
        </w:rPr>
      </w:pPr>
      <w:r>
        <w:rPr>
          <w:rFonts w:hint="eastAsia"/>
        </w:rPr>
        <w:t>Tuberculosis screening: where are our blind spots?</w:t>
      </w:r>
    </w:p>
    <w:p w14:paraId="22B972F8">
      <w:pPr>
        <w:pStyle w:val="2"/>
        <w:rPr>
          <w:rFonts w:hint="eastAsia"/>
        </w:rPr>
      </w:pPr>
    </w:p>
    <w:p w14:paraId="6EC20A0B">
      <w:pPr>
        <w:pStyle w:val="2"/>
        <w:rPr>
          <w:rFonts w:hint="eastAsia"/>
        </w:rPr>
      </w:pPr>
      <w:r>
        <w:rPr>
          <w:rFonts w:hint="eastAsia"/>
        </w:rPr>
        <w:t>Eisen S(1)(2)(3).</w:t>
      </w:r>
    </w:p>
    <w:p w14:paraId="201E2B97">
      <w:pPr>
        <w:pStyle w:val="2"/>
        <w:rPr>
          <w:rFonts w:hint="eastAsia"/>
        </w:rPr>
      </w:pPr>
    </w:p>
    <w:p w14:paraId="55E8B90D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12DCFE80">
      <w:pPr>
        <w:pStyle w:val="2"/>
        <w:rPr>
          <w:rFonts w:hint="eastAsia"/>
        </w:rPr>
      </w:pPr>
      <w:r>
        <w:rPr>
          <w:rFonts w:hint="eastAsia"/>
        </w:rPr>
        <w:t xml:space="preserve">(1)Children and Young People's Division / Hospital for Tropical Diseases, </w:t>
      </w:r>
    </w:p>
    <w:p w14:paraId="03405A6D">
      <w:pPr>
        <w:pStyle w:val="2"/>
        <w:rPr>
          <w:rFonts w:hint="eastAsia"/>
        </w:rPr>
      </w:pPr>
      <w:r>
        <w:rPr>
          <w:rFonts w:hint="eastAsia"/>
        </w:rPr>
        <w:t xml:space="preserve">University College London Hospitals NHS Foundation Trust, London, UK </w:t>
      </w:r>
    </w:p>
    <w:p w14:paraId="738C5733">
      <w:pPr>
        <w:pStyle w:val="2"/>
        <w:rPr>
          <w:rFonts w:hint="eastAsia"/>
        </w:rPr>
      </w:pPr>
      <w:r>
        <w:rPr>
          <w:rFonts w:hint="eastAsia"/>
        </w:rPr>
        <w:t>sarah.eisen@nhs.net.</w:t>
      </w:r>
    </w:p>
    <w:p w14:paraId="6A89AC53">
      <w:pPr>
        <w:pStyle w:val="2"/>
        <w:rPr>
          <w:rFonts w:hint="eastAsia"/>
        </w:rPr>
      </w:pPr>
      <w:r>
        <w:rPr>
          <w:rFonts w:hint="eastAsia"/>
        </w:rPr>
        <w:t xml:space="preserve">(2)London School of Hygiene &amp; Tropical Medicine Centre of Global Change and </w:t>
      </w:r>
    </w:p>
    <w:p w14:paraId="08EC7104">
      <w:pPr>
        <w:pStyle w:val="2"/>
        <w:rPr>
          <w:rFonts w:hint="eastAsia"/>
        </w:rPr>
      </w:pPr>
      <w:r>
        <w:rPr>
          <w:rFonts w:hint="eastAsia"/>
        </w:rPr>
        <w:t>Health, London, England, UK.</w:t>
      </w:r>
    </w:p>
    <w:p w14:paraId="5E8C0A12">
      <w:pPr>
        <w:pStyle w:val="2"/>
        <w:rPr>
          <w:rFonts w:hint="eastAsia"/>
        </w:rPr>
      </w:pPr>
      <w:r>
        <w:rPr>
          <w:rFonts w:hint="eastAsia"/>
        </w:rPr>
        <w:t xml:space="preserve">(3)Great Ormond Street Institute of Child Health, University College London, </w:t>
      </w:r>
    </w:p>
    <w:p w14:paraId="456388CA">
      <w:pPr>
        <w:pStyle w:val="2"/>
        <w:rPr>
          <w:rFonts w:hint="eastAsia"/>
        </w:rPr>
      </w:pPr>
      <w:r>
        <w:rPr>
          <w:rFonts w:hint="eastAsia"/>
        </w:rPr>
        <w:t>London, UK.</w:t>
      </w:r>
    </w:p>
    <w:p w14:paraId="31425E93">
      <w:pPr>
        <w:pStyle w:val="2"/>
        <w:rPr>
          <w:rFonts w:hint="eastAsia"/>
        </w:rPr>
      </w:pPr>
    </w:p>
    <w:p w14:paraId="4F7FEB79">
      <w:pPr>
        <w:pStyle w:val="2"/>
        <w:rPr>
          <w:rFonts w:hint="eastAsia"/>
        </w:rPr>
      </w:pPr>
      <w:r>
        <w:rPr>
          <w:rFonts w:hint="eastAsia"/>
        </w:rPr>
        <w:t>DOI: 10.1136/archdischild-2026-331122</w:t>
      </w:r>
    </w:p>
    <w:p w14:paraId="39350ED5">
      <w:pPr>
        <w:pStyle w:val="2"/>
        <w:rPr>
          <w:rFonts w:hint="eastAsia"/>
        </w:rPr>
      </w:pPr>
      <w:r>
        <w:rPr>
          <w:rFonts w:hint="eastAsia"/>
        </w:rPr>
        <w:t>PMID: 42850032</w:t>
      </w:r>
    </w:p>
    <w:p w14:paraId="543A12F5">
      <w:pPr>
        <w:pStyle w:val="2"/>
        <w:rPr>
          <w:rFonts w:hint="eastAsia"/>
        </w:rPr>
      </w:pPr>
    </w:p>
    <w:p w14:paraId="79A482D8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2</w:t>
      </w:r>
      <w:r>
        <w:rPr>
          <w:rFonts w:hint="eastAsia"/>
          <w:b/>
          <w:bCs/>
          <w:color w:val="FF0000"/>
          <w:lang w:val="en-US" w:eastAsia="zh-CN"/>
        </w:rPr>
        <w:t>3</w:t>
      </w:r>
      <w:r>
        <w:rPr>
          <w:rFonts w:hint="eastAsia"/>
          <w:b/>
          <w:bCs/>
          <w:color w:val="FF0000"/>
        </w:rPr>
        <w:t>. Cytokine. 2026 Oct 8;208:157222. doi: 10.1016/j.cyto.2026.157222. Online ahead of print.</w:t>
      </w:r>
    </w:p>
    <w:p w14:paraId="38675B12">
      <w:pPr>
        <w:pStyle w:val="2"/>
        <w:rPr>
          <w:rFonts w:hint="eastAsia"/>
        </w:rPr>
      </w:pPr>
    </w:p>
    <w:p w14:paraId="1152DB20">
      <w:pPr>
        <w:pStyle w:val="2"/>
        <w:rPr>
          <w:rFonts w:hint="eastAsia"/>
        </w:rPr>
      </w:pPr>
      <w:r>
        <w:rPr>
          <w:rFonts w:hint="eastAsia"/>
        </w:rPr>
        <w:t xml:space="preserve">Circulating TGF-β and SMAD3 in relation to early fibrotic lung changes and </w:t>
      </w:r>
    </w:p>
    <w:p w14:paraId="5C7415AC">
      <w:pPr>
        <w:pStyle w:val="2"/>
        <w:rPr>
          <w:rFonts w:hint="eastAsia"/>
        </w:rPr>
      </w:pPr>
      <w:r>
        <w:rPr>
          <w:rFonts w:hint="eastAsia"/>
        </w:rPr>
        <w:t>pulmonary function in pulmonary tuberculosis: A prospective cohort study.</w:t>
      </w:r>
    </w:p>
    <w:p w14:paraId="4BC60EAC">
      <w:pPr>
        <w:pStyle w:val="2"/>
        <w:rPr>
          <w:rFonts w:hint="eastAsia"/>
        </w:rPr>
      </w:pPr>
    </w:p>
    <w:p w14:paraId="504F59E8">
      <w:pPr>
        <w:pStyle w:val="2"/>
        <w:rPr>
          <w:rFonts w:hint="eastAsia"/>
        </w:rPr>
      </w:pPr>
      <w:r>
        <w:rPr>
          <w:rFonts w:hint="eastAsia"/>
        </w:rPr>
        <w:t>Putrawan HA(1), Muttaqin Z(2).</w:t>
      </w:r>
    </w:p>
    <w:p w14:paraId="7B9BC716">
      <w:pPr>
        <w:pStyle w:val="2"/>
        <w:rPr>
          <w:rFonts w:hint="eastAsia"/>
        </w:rPr>
      </w:pPr>
    </w:p>
    <w:p w14:paraId="67C97710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71320383">
      <w:pPr>
        <w:pStyle w:val="2"/>
        <w:rPr>
          <w:rFonts w:hint="eastAsia"/>
        </w:rPr>
      </w:pPr>
      <w:r>
        <w:rPr>
          <w:rFonts w:hint="eastAsia"/>
        </w:rPr>
        <w:t xml:space="preserve">(1)Department of Pulmonology and Respiratory Medicine, Faculty of Medicine, </w:t>
      </w:r>
    </w:p>
    <w:p w14:paraId="5E4B2D1F">
      <w:pPr>
        <w:pStyle w:val="2"/>
        <w:rPr>
          <w:rFonts w:hint="eastAsia"/>
        </w:rPr>
      </w:pPr>
      <w:r>
        <w:rPr>
          <w:rFonts w:hint="eastAsia"/>
        </w:rPr>
        <w:t xml:space="preserve">Hasanuddin University, Makassar, Indonesia. Electronic address: </w:t>
      </w:r>
    </w:p>
    <w:p w14:paraId="0C63AFE9">
      <w:pPr>
        <w:pStyle w:val="2"/>
        <w:rPr>
          <w:rFonts w:hint="eastAsia"/>
        </w:rPr>
      </w:pPr>
      <w:r>
        <w:rPr>
          <w:rFonts w:hint="eastAsia"/>
        </w:rPr>
        <w:t>harryakzaputrawan.md@gmail.com.</w:t>
      </w:r>
    </w:p>
    <w:p w14:paraId="37892CF5">
      <w:pPr>
        <w:pStyle w:val="2"/>
        <w:rPr>
          <w:rFonts w:hint="eastAsia"/>
        </w:rPr>
      </w:pPr>
      <w:r>
        <w:rPr>
          <w:rFonts w:hint="eastAsia"/>
        </w:rPr>
        <w:t xml:space="preserve">(2)Hasanuddin University Medical Research Center, Faculty of Medicine, </w:t>
      </w:r>
    </w:p>
    <w:p w14:paraId="5BF0FAB4">
      <w:pPr>
        <w:pStyle w:val="2"/>
        <w:rPr>
          <w:rFonts w:hint="eastAsia"/>
        </w:rPr>
      </w:pPr>
      <w:r>
        <w:rPr>
          <w:rFonts w:hint="eastAsia"/>
        </w:rPr>
        <w:t>Hasanuddin University, Makassar, Indonesia.</w:t>
      </w:r>
    </w:p>
    <w:p w14:paraId="4946B9B7">
      <w:pPr>
        <w:pStyle w:val="2"/>
        <w:rPr>
          <w:rFonts w:hint="eastAsia"/>
        </w:rPr>
      </w:pPr>
    </w:p>
    <w:p w14:paraId="1666FD29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Early structural lung remodeling may develop during pulmonary </w:t>
      </w:r>
    </w:p>
    <w:p w14:paraId="4F5CA603">
      <w:pPr>
        <w:pStyle w:val="2"/>
        <w:rPr>
          <w:rFonts w:hint="eastAsia"/>
        </w:rPr>
      </w:pPr>
      <w:r>
        <w:rPr>
          <w:rFonts w:hint="eastAsia"/>
        </w:rPr>
        <w:t xml:space="preserve">tuberculosis (TB) treatment, but its relationship with circulating mediators of </w:t>
      </w:r>
    </w:p>
    <w:p w14:paraId="2F47A2DE">
      <w:pPr>
        <w:pStyle w:val="2"/>
        <w:rPr>
          <w:rFonts w:hint="eastAsia"/>
        </w:rPr>
      </w:pPr>
      <w:r>
        <w:rPr>
          <w:rFonts w:hint="eastAsia"/>
        </w:rPr>
        <w:t xml:space="preserve">fibrotic signaling remains poorly characterized. We investigated circulating </w:t>
      </w:r>
    </w:p>
    <w:p w14:paraId="02B615C5">
      <w:pPr>
        <w:pStyle w:val="2"/>
        <w:rPr>
          <w:rFonts w:hint="eastAsia"/>
        </w:rPr>
      </w:pPr>
      <w:r>
        <w:rPr>
          <w:rFonts w:hint="eastAsia"/>
        </w:rPr>
        <w:t xml:space="preserve">transforming growth factor-beta (TGF-β) and SMAD3 in relation to early </w:t>
      </w:r>
    </w:p>
    <w:p w14:paraId="304A2FF8">
      <w:pPr>
        <w:pStyle w:val="2"/>
        <w:rPr>
          <w:rFonts w:hint="eastAsia"/>
        </w:rPr>
      </w:pPr>
      <w:r>
        <w:rPr>
          <w:rFonts w:hint="eastAsia"/>
        </w:rPr>
        <w:t>radiological fibrotic changes and pulmonary function.</w:t>
      </w:r>
    </w:p>
    <w:p w14:paraId="2775281B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METHODS: </w:t>
      </w:r>
      <w:r>
        <w:rPr>
          <w:rFonts w:hint="eastAsia"/>
        </w:rPr>
        <w:t xml:space="preserve">In this prospective cohort study, 38 adults with newly diagnosed </w:t>
      </w:r>
    </w:p>
    <w:p w14:paraId="1F3F81EA">
      <w:pPr>
        <w:pStyle w:val="2"/>
        <w:rPr>
          <w:rFonts w:hint="eastAsia"/>
        </w:rPr>
      </w:pPr>
      <w:r>
        <w:rPr>
          <w:rFonts w:hint="eastAsia"/>
        </w:rPr>
        <w:t xml:space="preserve">pulmonary TB completed two months of standard intensive-phase treatment. Serum </w:t>
      </w:r>
    </w:p>
    <w:p w14:paraId="42736E50">
      <w:pPr>
        <w:pStyle w:val="2"/>
        <w:rPr>
          <w:rFonts w:hint="eastAsia"/>
        </w:rPr>
      </w:pPr>
      <w:r>
        <w:rPr>
          <w:rFonts w:hint="eastAsia"/>
        </w:rPr>
        <w:t xml:space="preserve">TGF-β and SMAD3 were measured by ELISA, while radiological fibrosis severity and </w:t>
      </w:r>
    </w:p>
    <w:p w14:paraId="73352886">
      <w:pPr>
        <w:pStyle w:val="2"/>
        <w:rPr>
          <w:rFonts w:hint="eastAsia"/>
        </w:rPr>
      </w:pPr>
      <w:r>
        <w:rPr>
          <w:rFonts w:hint="eastAsia"/>
        </w:rPr>
        <w:t xml:space="preserve">pulmonary function were assessed after the intensive phase. Between-group </w:t>
      </w:r>
    </w:p>
    <w:p w14:paraId="4BD612D7">
      <w:pPr>
        <w:pStyle w:val="2"/>
        <w:rPr>
          <w:rFonts w:hint="eastAsia"/>
        </w:rPr>
      </w:pPr>
      <w:r>
        <w:rPr>
          <w:rFonts w:hint="eastAsia"/>
        </w:rPr>
        <w:t xml:space="preserve">differences and associations with fibrosis severity were evaluated using </w:t>
      </w:r>
    </w:p>
    <w:p w14:paraId="66EADFD1">
      <w:pPr>
        <w:pStyle w:val="2"/>
        <w:rPr>
          <w:rFonts w:hint="eastAsia"/>
        </w:rPr>
      </w:pPr>
      <w:r>
        <w:rPr>
          <w:rFonts w:hint="eastAsia"/>
        </w:rPr>
        <w:t>appropriate parametric and non-parametric analyses.</w:t>
      </w:r>
    </w:p>
    <w:p w14:paraId="5E0A962E">
      <w:pPr>
        <w:pStyle w:val="2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Early radiological fibrotic changes were identified in 31/38 </w:t>
      </w:r>
    </w:p>
    <w:p w14:paraId="5BC81E0B">
      <w:pPr>
        <w:pStyle w:val="2"/>
        <w:rPr>
          <w:rFonts w:hint="eastAsia"/>
        </w:rPr>
      </w:pPr>
      <w:r>
        <w:rPr>
          <w:rFonts w:hint="eastAsia"/>
        </w:rPr>
        <w:t xml:space="preserve">participants (81.6%). FVC and FEV1 were numerically lower with greater fibrosis </w:t>
      </w:r>
    </w:p>
    <w:p w14:paraId="703D135A">
      <w:pPr>
        <w:pStyle w:val="2"/>
        <w:rPr>
          <w:rFonts w:hint="eastAsia"/>
        </w:rPr>
      </w:pPr>
      <w:r>
        <w:rPr>
          <w:rFonts w:hint="eastAsia"/>
        </w:rPr>
        <w:t xml:space="preserve">severity, although overall between-group differences were not significant </w:t>
      </w:r>
    </w:p>
    <w:p w14:paraId="4B348029">
      <w:pPr>
        <w:pStyle w:val="2"/>
        <w:rPr>
          <w:rFonts w:hint="eastAsia"/>
        </w:rPr>
      </w:pPr>
      <w:r>
        <w:rPr>
          <w:rFonts w:hint="eastAsia"/>
        </w:rPr>
        <w:t xml:space="preserve">(p = 0.145 and p = 0.213, respectively). Fibrosis severity was inversely </w:t>
      </w:r>
    </w:p>
    <w:p w14:paraId="43AAECBC">
      <w:pPr>
        <w:pStyle w:val="2"/>
        <w:rPr>
          <w:rFonts w:hint="eastAsia"/>
        </w:rPr>
      </w:pPr>
      <w:r>
        <w:rPr>
          <w:rFonts w:hint="eastAsia"/>
        </w:rPr>
        <w:t xml:space="preserve">correlated with FVC (ρ = -0.388, p = 0.016) and FEV1 (ρ = -0.341, p = 0.036). </w:t>
      </w:r>
    </w:p>
    <w:p w14:paraId="29A0B8C6">
      <w:pPr>
        <w:pStyle w:val="2"/>
        <w:rPr>
          <w:rFonts w:hint="eastAsia"/>
        </w:rPr>
      </w:pPr>
      <w:r>
        <w:rPr>
          <w:rFonts w:hint="eastAsia"/>
        </w:rPr>
        <w:t xml:space="preserve">Circulating TGF-β did not differ significantly across fibrosis categories </w:t>
      </w:r>
    </w:p>
    <w:p w14:paraId="64F7D367">
      <w:pPr>
        <w:pStyle w:val="2"/>
        <w:rPr>
          <w:rFonts w:hint="eastAsia"/>
        </w:rPr>
      </w:pPr>
      <w:r>
        <w:rPr>
          <w:rFonts w:hint="eastAsia"/>
        </w:rPr>
        <w:t xml:space="preserve">(p = 0.179). In contrast, SMAD3 differed across categories (p = 0.035) and </w:t>
      </w:r>
    </w:p>
    <w:p w14:paraId="1ACE408B">
      <w:pPr>
        <w:pStyle w:val="2"/>
        <w:rPr>
          <w:rFonts w:hint="eastAsia"/>
        </w:rPr>
      </w:pPr>
      <w:r>
        <w:rPr>
          <w:rFonts w:hint="eastAsia"/>
        </w:rPr>
        <w:t xml:space="preserve">correlated with fibrosis severity (ρ = 0.483, p = 0.002); after Holm adjustment, </w:t>
      </w:r>
    </w:p>
    <w:p w14:paraId="5C8EFDD5">
      <w:pPr>
        <w:pStyle w:val="2"/>
        <w:rPr>
          <w:rFonts w:hint="eastAsia"/>
        </w:rPr>
      </w:pPr>
      <w:r>
        <w:rPr>
          <w:rFonts w:hint="eastAsia"/>
        </w:rPr>
        <w:t xml:space="preserve">only the no-fibrosis versus severe-fibrosis comparison remained significant </w:t>
      </w:r>
    </w:p>
    <w:p w14:paraId="44368FD3">
      <w:pPr>
        <w:pStyle w:val="2"/>
        <w:rPr>
          <w:rFonts w:hint="eastAsia"/>
        </w:rPr>
      </w:pPr>
      <w:r>
        <w:rPr>
          <w:rFonts w:hint="eastAsia"/>
        </w:rPr>
        <w:t>(p = 0.025).</w:t>
      </w:r>
    </w:p>
    <w:p w14:paraId="482C26D5">
      <w:pPr>
        <w:pStyle w:val="2"/>
        <w:rPr>
          <w:rFonts w:hint="eastAsia"/>
        </w:rPr>
      </w:pPr>
      <w:r>
        <w:rPr>
          <w:rFonts w:hint="eastAsia"/>
          <w:b/>
          <w:bCs/>
        </w:rPr>
        <w:t>CONCLUSIONS:</w:t>
      </w:r>
      <w:r>
        <w:rPr>
          <w:rFonts w:hint="eastAsia"/>
        </w:rPr>
        <w:t xml:space="preserve"> Circulating SMAD3, but not TGF-β, was associated with early </w:t>
      </w:r>
    </w:p>
    <w:p w14:paraId="56BB09C6">
      <w:pPr>
        <w:pStyle w:val="2"/>
        <w:rPr>
          <w:rFonts w:hint="eastAsia"/>
        </w:rPr>
      </w:pPr>
      <w:r>
        <w:rPr>
          <w:rFonts w:hint="eastAsia"/>
        </w:rPr>
        <w:t xml:space="preserve">radiological fibrosis severity during TB treatment. These findings support </w:t>
      </w:r>
    </w:p>
    <w:p w14:paraId="402BB968">
      <w:pPr>
        <w:pStyle w:val="2"/>
        <w:rPr>
          <w:rFonts w:hint="eastAsia"/>
        </w:rPr>
      </w:pPr>
      <w:r>
        <w:rPr>
          <w:rFonts w:hint="eastAsia"/>
        </w:rPr>
        <w:t xml:space="preserve">further longitudinal investigation of molecular changes accompanying post-TB </w:t>
      </w:r>
    </w:p>
    <w:p w14:paraId="4DAA95A0">
      <w:pPr>
        <w:pStyle w:val="2"/>
        <w:rPr>
          <w:rFonts w:hint="eastAsia"/>
        </w:rPr>
      </w:pPr>
      <w:r>
        <w:rPr>
          <w:rFonts w:hint="eastAsia"/>
        </w:rPr>
        <w:t xml:space="preserve">pulmonary remodeling without establishing pathway activation or clinical </w:t>
      </w:r>
    </w:p>
    <w:p w14:paraId="73B1BE3D">
      <w:pPr>
        <w:pStyle w:val="2"/>
        <w:rPr>
          <w:rFonts w:hint="eastAsia"/>
        </w:rPr>
      </w:pPr>
      <w:r>
        <w:rPr>
          <w:rFonts w:hint="eastAsia"/>
        </w:rPr>
        <w:t>biomarker utility.</w:t>
      </w:r>
    </w:p>
    <w:p w14:paraId="4839DCC5">
      <w:pPr>
        <w:pStyle w:val="2"/>
        <w:rPr>
          <w:rFonts w:hint="eastAsia"/>
        </w:rPr>
      </w:pPr>
    </w:p>
    <w:p w14:paraId="7124773E">
      <w:pPr>
        <w:pStyle w:val="2"/>
        <w:rPr>
          <w:rFonts w:hint="eastAsia"/>
        </w:rPr>
      </w:pPr>
      <w:r>
        <w:rPr>
          <w:rFonts w:hint="eastAsia"/>
        </w:rPr>
        <w:t>Copyright © 2026 Elsevier Ltd. All rights reserved.</w:t>
      </w:r>
    </w:p>
    <w:p w14:paraId="7819B9E0">
      <w:pPr>
        <w:pStyle w:val="2"/>
        <w:rPr>
          <w:rFonts w:hint="eastAsia"/>
        </w:rPr>
      </w:pPr>
    </w:p>
    <w:p w14:paraId="61666E37">
      <w:pPr>
        <w:pStyle w:val="2"/>
        <w:rPr>
          <w:rFonts w:hint="eastAsia"/>
        </w:rPr>
      </w:pPr>
      <w:r>
        <w:rPr>
          <w:rFonts w:hint="eastAsia"/>
        </w:rPr>
        <w:t>DOI: 10.1016/j.cyto.2026.157222</w:t>
      </w:r>
    </w:p>
    <w:p w14:paraId="286A8F65">
      <w:pPr>
        <w:pStyle w:val="2"/>
        <w:rPr>
          <w:rFonts w:hint="eastAsia"/>
        </w:rPr>
      </w:pPr>
      <w:r>
        <w:rPr>
          <w:rFonts w:hint="eastAsia"/>
        </w:rPr>
        <w:t>PMID: 42849412</w:t>
      </w:r>
    </w:p>
    <w:p w14:paraId="3AB2D91F">
      <w:pPr>
        <w:pStyle w:val="2"/>
        <w:rPr>
          <w:rFonts w:hint="eastAsia"/>
        </w:rPr>
      </w:pPr>
    </w:p>
    <w:p w14:paraId="75610A0B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2</w:t>
      </w:r>
      <w:r>
        <w:rPr>
          <w:rFonts w:hint="eastAsia"/>
          <w:b/>
          <w:bCs/>
          <w:color w:val="FF0000"/>
          <w:lang w:val="en-US" w:eastAsia="zh-CN"/>
        </w:rPr>
        <w:t>4</w:t>
      </w:r>
      <w:r>
        <w:rPr>
          <w:rFonts w:hint="eastAsia"/>
          <w:b/>
          <w:bCs/>
          <w:color w:val="FF0000"/>
        </w:rPr>
        <w:t>. N Z Med J. 2026 Oct 9;139(1643):51-61. doi: 10.26635/6965.7457.</w:t>
      </w:r>
    </w:p>
    <w:p w14:paraId="018C95CA">
      <w:pPr>
        <w:pStyle w:val="2"/>
        <w:rPr>
          <w:rFonts w:hint="eastAsia"/>
        </w:rPr>
      </w:pPr>
    </w:p>
    <w:p w14:paraId="3A97436F">
      <w:pPr>
        <w:pStyle w:val="2"/>
        <w:rPr>
          <w:rFonts w:hint="eastAsia"/>
        </w:rPr>
      </w:pPr>
      <w:r>
        <w:rPr>
          <w:rFonts w:hint="eastAsia"/>
        </w:rPr>
        <w:t xml:space="preserve">Māori notified with tuberculosis in one public health region of Aotearoa New </w:t>
      </w:r>
    </w:p>
    <w:p w14:paraId="162F3DE3">
      <w:pPr>
        <w:pStyle w:val="2"/>
        <w:rPr>
          <w:rFonts w:hint="eastAsia"/>
        </w:rPr>
      </w:pPr>
      <w:r>
        <w:rPr>
          <w:rFonts w:hint="eastAsia"/>
        </w:rPr>
        <w:t>Zealand: a document review.</w:t>
      </w:r>
    </w:p>
    <w:p w14:paraId="5B235AFF">
      <w:pPr>
        <w:pStyle w:val="2"/>
        <w:rPr>
          <w:rFonts w:hint="eastAsia"/>
        </w:rPr>
      </w:pPr>
    </w:p>
    <w:p w14:paraId="7BAD6667">
      <w:pPr>
        <w:pStyle w:val="2"/>
        <w:rPr>
          <w:rFonts w:hint="eastAsia"/>
        </w:rPr>
      </w:pPr>
      <w:r>
        <w:rPr>
          <w:rFonts w:hint="eastAsia"/>
        </w:rPr>
        <w:t>Esson I(1), McAllister S(2), Jones A(1), Toki D(3), Scott N(1), Hill PC(2).</w:t>
      </w:r>
    </w:p>
    <w:p w14:paraId="0400232F">
      <w:pPr>
        <w:pStyle w:val="2"/>
        <w:rPr>
          <w:rFonts w:hint="eastAsia"/>
        </w:rPr>
      </w:pPr>
    </w:p>
    <w:p w14:paraId="35B5F57F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0855F54E">
      <w:pPr>
        <w:pStyle w:val="2"/>
        <w:rPr>
          <w:rFonts w:hint="eastAsia"/>
        </w:rPr>
      </w:pPr>
      <w:r>
        <w:rPr>
          <w:rFonts w:hint="eastAsia"/>
        </w:rPr>
        <w:t>(1)Health New Zealand - Te Whatu Ora, Waikato.</w:t>
      </w:r>
    </w:p>
    <w:p w14:paraId="71C51E5C">
      <w:pPr>
        <w:pStyle w:val="2"/>
        <w:rPr>
          <w:rFonts w:hint="eastAsia"/>
        </w:rPr>
      </w:pPr>
      <w:r>
        <w:rPr>
          <w:rFonts w:hint="eastAsia"/>
        </w:rPr>
        <w:t xml:space="preserve">(2)Centre for International Health, Division of Health Sciences, University of </w:t>
      </w:r>
    </w:p>
    <w:p w14:paraId="63043986">
      <w:pPr>
        <w:pStyle w:val="2"/>
        <w:rPr>
          <w:rFonts w:hint="eastAsia"/>
        </w:rPr>
      </w:pPr>
      <w:r>
        <w:rPr>
          <w:rFonts w:hint="eastAsia"/>
        </w:rPr>
        <w:t>Otago, Dunedin.</w:t>
      </w:r>
    </w:p>
    <w:p w14:paraId="0776F017">
      <w:pPr>
        <w:pStyle w:val="2"/>
        <w:rPr>
          <w:rFonts w:hint="eastAsia"/>
        </w:rPr>
      </w:pPr>
      <w:r>
        <w:rPr>
          <w:rFonts w:hint="eastAsia"/>
        </w:rPr>
        <w:t xml:space="preserve">(3)Health New Zealand - Te Whatu Ora, Waikato; Centre for International Health, </w:t>
      </w:r>
    </w:p>
    <w:p w14:paraId="037B75C3">
      <w:pPr>
        <w:pStyle w:val="2"/>
        <w:rPr>
          <w:rFonts w:hint="eastAsia"/>
        </w:rPr>
      </w:pPr>
      <w:r>
        <w:rPr>
          <w:rFonts w:hint="eastAsia"/>
        </w:rPr>
        <w:t>Division of Health Sciences, University of Otago, Dunedin.</w:t>
      </w:r>
    </w:p>
    <w:p w14:paraId="5C7508B9">
      <w:pPr>
        <w:pStyle w:val="2"/>
        <w:rPr>
          <w:rFonts w:hint="eastAsia"/>
        </w:rPr>
      </w:pPr>
    </w:p>
    <w:p w14:paraId="0059F984">
      <w:pPr>
        <w:pStyle w:val="2"/>
        <w:rPr>
          <w:rFonts w:hint="eastAsia"/>
        </w:rPr>
      </w:pPr>
      <w:r>
        <w:rPr>
          <w:rFonts w:hint="eastAsia"/>
          <w:b/>
          <w:bCs/>
        </w:rPr>
        <w:t>AIM:</w:t>
      </w:r>
      <w:r>
        <w:rPr>
          <w:rFonts w:hint="eastAsia"/>
        </w:rPr>
        <w:t xml:space="preserve"> Among Aotearoa New Zealand-born people with tuberculosis (TB), half are </w:t>
      </w:r>
    </w:p>
    <w:p w14:paraId="2A9180E7">
      <w:pPr>
        <w:pStyle w:val="2"/>
        <w:rPr>
          <w:rFonts w:hint="eastAsia"/>
        </w:rPr>
      </w:pPr>
      <w:r>
        <w:rPr>
          <w:rFonts w:hint="eastAsia"/>
        </w:rPr>
        <w:t xml:space="preserve">Māori. TB is preventable, and Aotearoa New Zealand has signed up to the global </w:t>
      </w:r>
    </w:p>
    <w:p w14:paraId="7FC39282">
      <w:pPr>
        <w:pStyle w:val="2"/>
        <w:rPr>
          <w:rFonts w:hint="eastAsia"/>
        </w:rPr>
      </w:pPr>
      <w:r>
        <w:rPr>
          <w:rFonts w:hint="eastAsia"/>
        </w:rPr>
        <w:t xml:space="preserve">strategy to end the TB epidemic. TB among Māori has endured since the late 1800s </w:t>
      </w:r>
    </w:p>
    <w:p w14:paraId="71A18D4D">
      <w:pPr>
        <w:pStyle w:val="2"/>
        <w:rPr>
          <w:rFonts w:hint="eastAsia"/>
        </w:rPr>
      </w:pPr>
      <w:r>
        <w:rPr>
          <w:rFonts w:hint="eastAsia"/>
        </w:rPr>
        <w:t xml:space="preserve">and occurs in a complex political, social and wellbeing context. We aimed to </w:t>
      </w:r>
    </w:p>
    <w:p w14:paraId="475773F0">
      <w:pPr>
        <w:pStyle w:val="2"/>
        <w:rPr>
          <w:rFonts w:hint="eastAsia"/>
        </w:rPr>
      </w:pPr>
      <w:r>
        <w:rPr>
          <w:rFonts w:hint="eastAsia"/>
        </w:rPr>
        <w:t xml:space="preserve">review current public health practices used for contacting and following up </w:t>
      </w:r>
    </w:p>
    <w:p w14:paraId="25EE49FB">
      <w:pPr>
        <w:pStyle w:val="2"/>
        <w:rPr>
          <w:rFonts w:hint="eastAsia"/>
        </w:rPr>
      </w:pPr>
      <w:r>
        <w:rPr>
          <w:rFonts w:hint="eastAsia"/>
        </w:rPr>
        <w:t>Māori with TB and their contacts.</w:t>
      </w:r>
    </w:p>
    <w:p w14:paraId="18514D23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METHODS: </w:t>
      </w:r>
      <w:r>
        <w:rPr>
          <w:rFonts w:hint="eastAsia"/>
        </w:rPr>
        <w:t xml:space="preserve">We undertook a retrospective case review of Māori notified with </w:t>
      </w:r>
    </w:p>
    <w:p w14:paraId="101C56D3">
      <w:pPr>
        <w:pStyle w:val="2"/>
        <w:rPr>
          <w:rFonts w:hint="eastAsia"/>
        </w:rPr>
      </w:pPr>
      <w:r>
        <w:rPr>
          <w:rFonts w:hint="eastAsia"/>
        </w:rPr>
        <w:t xml:space="preserve">pulmonary TB (2018- 2023) in the Waikato Region. Data included TB notification, </w:t>
      </w:r>
    </w:p>
    <w:p w14:paraId="2A355A09">
      <w:pPr>
        <w:pStyle w:val="2"/>
        <w:rPr>
          <w:rFonts w:hint="eastAsia"/>
        </w:rPr>
      </w:pPr>
      <w:r>
        <w:rPr>
          <w:rFonts w:hint="eastAsia"/>
        </w:rPr>
        <w:t xml:space="preserve">treatment start and end dates, number and type of contacts, latent TB infection </w:t>
      </w:r>
    </w:p>
    <w:p w14:paraId="562A8804">
      <w:pPr>
        <w:pStyle w:val="2"/>
        <w:rPr>
          <w:rFonts w:hint="eastAsia"/>
        </w:rPr>
      </w:pPr>
      <w:r>
        <w:rPr>
          <w:rFonts w:hint="eastAsia"/>
        </w:rPr>
        <w:t>(LTBI) testing, screening and support for wellbeing issues.</w:t>
      </w:r>
    </w:p>
    <w:p w14:paraId="784D9C97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Seventeen Māori were identified with pulmonary TB (aged 23-81 years). </w:t>
      </w:r>
    </w:p>
    <w:p w14:paraId="5D6441F4">
      <w:pPr>
        <w:pStyle w:val="2"/>
        <w:rPr>
          <w:rFonts w:hint="eastAsia"/>
        </w:rPr>
      </w:pPr>
      <w:r>
        <w:rPr>
          <w:rFonts w:hint="eastAsia"/>
        </w:rPr>
        <w:t xml:space="preserve">Sixteen started and 13 completed treatment. One died prior to formal TB </w:t>
      </w:r>
    </w:p>
    <w:p w14:paraId="3DF19BDF">
      <w:pPr>
        <w:pStyle w:val="2"/>
        <w:rPr>
          <w:rFonts w:hint="eastAsia"/>
        </w:rPr>
      </w:pPr>
      <w:r>
        <w:rPr>
          <w:rFonts w:hint="eastAsia"/>
        </w:rPr>
        <w:t xml:space="preserve">notification; two died during treatment. A total of 182 contacts were </w:t>
      </w:r>
    </w:p>
    <w:p w14:paraId="2166CD2A">
      <w:pPr>
        <w:pStyle w:val="2"/>
        <w:rPr>
          <w:rFonts w:hint="eastAsia"/>
        </w:rPr>
      </w:pPr>
      <w:r>
        <w:rPr>
          <w:rFonts w:hint="eastAsia"/>
        </w:rPr>
        <w:t xml:space="preserve">identified-mostly household contacts (42%) and hospital staff (25%). Sixty-four </w:t>
      </w:r>
    </w:p>
    <w:p w14:paraId="72657D8C">
      <w:pPr>
        <w:pStyle w:val="2"/>
        <w:rPr>
          <w:rFonts w:hint="eastAsia"/>
        </w:rPr>
      </w:pPr>
      <w:r>
        <w:rPr>
          <w:rFonts w:hint="eastAsia"/>
        </w:rPr>
        <w:t xml:space="preserve">percent (n=117) of contacts were screened for LTBI: 15 (11%) tested positive and </w:t>
      </w:r>
    </w:p>
    <w:p w14:paraId="062EE307">
      <w:pPr>
        <w:pStyle w:val="2"/>
        <w:rPr>
          <w:rFonts w:hint="eastAsia"/>
        </w:rPr>
      </w:pPr>
      <w:r>
        <w:rPr>
          <w:rFonts w:hint="eastAsia"/>
        </w:rPr>
        <w:t xml:space="preserve">were referred for follow-up. Health navigator support was noted for two patients </w:t>
      </w:r>
    </w:p>
    <w:p w14:paraId="7651ABA8">
      <w:pPr>
        <w:pStyle w:val="2"/>
        <w:rPr>
          <w:rFonts w:hint="eastAsia"/>
        </w:rPr>
      </w:pPr>
      <w:r>
        <w:rPr>
          <w:rFonts w:hint="eastAsia"/>
        </w:rPr>
        <w:t>only.</w:t>
      </w:r>
    </w:p>
    <w:p w14:paraId="3B096BDD">
      <w:pPr>
        <w:pStyle w:val="2"/>
        <w:rPr>
          <w:rFonts w:hint="eastAsia"/>
        </w:rPr>
      </w:pPr>
      <w:r>
        <w:rPr>
          <w:rFonts w:hint="eastAsia"/>
          <w:b/>
          <w:bCs/>
        </w:rPr>
        <w:t>CONCLUSION:</w:t>
      </w:r>
      <w:r>
        <w:rPr>
          <w:rFonts w:hint="eastAsia"/>
        </w:rPr>
        <w:t xml:space="preserve"> A new model of care is required for contacting and following up </w:t>
      </w:r>
    </w:p>
    <w:p w14:paraId="5932C260">
      <w:pPr>
        <w:pStyle w:val="2"/>
        <w:rPr>
          <w:rFonts w:hint="eastAsia"/>
        </w:rPr>
      </w:pPr>
      <w:r>
        <w:rPr>
          <w:rFonts w:hint="eastAsia"/>
        </w:rPr>
        <w:t>Māori with TB and their contacts to end the Māori TB epidemic.</w:t>
      </w:r>
    </w:p>
    <w:p w14:paraId="23E297C0">
      <w:pPr>
        <w:pStyle w:val="2"/>
        <w:rPr>
          <w:rFonts w:hint="eastAsia"/>
        </w:rPr>
      </w:pPr>
    </w:p>
    <w:p w14:paraId="62B100E4">
      <w:pPr>
        <w:pStyle w:val="2"/>
        <w:rPr>
          <w:rFonts w:hint="eastAsia"/>
        </w:rPr>
      </w:pPr>
      <w:r>
        <w:rPr>
          <w:rFonts w:hint="eastAsia"/>
        </w:rPr>
        <w:t>© PMA.</w:t>
      </w:r>
    </w:p>
    <w:p w14:paraId="3D67E4BA">
      <w:pPr>
        <w:pStyle w:val="2"/>
        <w:rPr>
          <w:rFonts w:hint="eastAsia"/>
        </w:rPr>
      </w:pPr>
    </w:p>
    <w:p w14:paraId="39DFD5AC">
      <w:pPr>
        <w:pStyle w:val="2"/>
        <w:rPr>
          <w:rFonts w:hint="eastAsia"/>
        </w:rPr>
      </w:pPr>
      <w:r>
        <w:rPr>
          <w:rFonts w:hint="eastAsia"/>
        </w:rPr>
        <w:t>DOI: 10.26635/6965.7457</w:t>
      </w:r>
    </w:p>
    <w:p w14:paraId="6834AC31">
      <w:pPr>
        <w:pStyle w:val="2"/>
        <w:rPr>
          <w:rFonts w:hint="eastAsia"/>
        </w:rPr>
      </w:pPr>
      <w:r>
        <w:rPr>
          <w:rFonts w:hint="eastAsia"/>
        </w:rPr>
        <w:t>PMID: 42849003 [Indexed for MEDLINE]</w:t>
      </w:r>
    </w:p>
    <w:p w14:paraId="1A256C06">
      <w:pPr>
        <w:pStyle w:val="2"/>
        <w:rPr>
          <w:rFonts w:hint="eastAsia"/>
        </w:rPr>
      </w:pPr>
    </w:p>
    <w:p w14:paraId="270B34CB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2</w:t>
      </w:r>
      <w:r>
        <w:rPr>
          <w:rFonts w:hint="eastAsia"/>
          <w:b/>
          <w:bCs/>
          <w:color w:val="FF0000"/>
          <w:lang w:val="en-US" w:eastAsia="zh-CN"/>
        </w:rPr>
        <w:t>5</w:t>
      </w:r>
      <w:r>
        <w:rPr>
          <w:rFonts w:hint="eastAsia"/>
          <w:b/>
          <w:bCs/>
          <w:color w:val="FF0000"/>
        </w:rPr>
        <w:t xml:space="preserve">. PLoS One. 2026 Oct 8;21(10):e0336561. doi: 10.1371/journal.pone.0336561. </w:t>
      </w:r>
    </w:p>
    <w:p w14:paraId="3D62A931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2026.</w:t>
      </w:r>
    </w:p>
    <w:p w14:paraId="451345D3">
      <w:pPr>
        <w:pStyle w:val="2"/>
        <w:rPr>
          <w:rFonts w:hint="eastAsia"/>
        </w:rPr>
      </w:pPr>
    </w:p>
    <w:p w14:paraId="2E76152F">
      <w:pPr>
        <w:pStyle w:val="2"/>
        <w:rPr>
          <w:rFonts w:hint="eastAsia"/>
        </w:rPr>
      </w:pPr>
      <w:r>
        <w:rPr>
          <w:rFonts w:hint="eastAsia"/>
        </w:rPr>
        <w:t xml:space="preserve">Health system and household costs of preventive treatment delivery for children </w:t>
      </w:r>
    </w:p>
    <w:p w14:paraId="72E30E89">
      <w:pPr>
        <w:pStyle w:val="2"/>
        <w:rPr>
          <w:rFonts w:hint="eastAsia"/>
        </w:rPr>
      </w:pPr>
      <w:r>
        <w:rPr>
          <w:rFonts w:hint="eastAsia"/>
        </w:rPr>
        <w:t>exposed to multidrug-resistant tuberculosis in South Africa.</w:t>
      </w:r>
    </w:p>
    <w:p w14:paraId="30F68400">
      <w:pPr>
        <w:pStyle w:val="2"/>
        <w:rPr>
          <w:rFonts w:hint="eastAsia"/>
        </w:rPr>
      </w:pPr>
    </w:p>
    <w:p w14:paraId="3ED5C1E4">
      <w:pPr>
        <w:pStyle w:val="2"/>
        <w:rPr>
          <w:rFonts w:hint="eastAsia"/>
        </w:rPr>
      </w:pPr>
      <w:r>
        <w:rPr>
          <w:rFonts w:hint="eastAsia"/>
        </w:rPr>
        <w:t xml:space="preserve">Wilkinson T(1), Fortuin S(2), Hesseling AC(3), Schaaf HS(3), Duong T(4), Gibb </w:t>
      </w:r>
    </w:p>
    <w:p w14:paraId="2B571F1A">
      <w:pPr>
        <w:pStyle w:val="2"/>
        <w:rPr>
          <w:rFonts w:hint="eastAsia"/>
        </w:rPr>
      </w:pPr>
      <w:r>
        <w:rPr>
          <w:rFonts w:hint="eastAsia"/>
        </w:rPr>
        <w:t xml:space="preserve">DM(4), Purchase SE(3), Fairlie L(5), Staples S(6), Martinson N(7)(8), Sinanovic </w:t>
      </w:r>
    </w:p>
    <w:p w14:paraId="6D5B0D85">
      <w:pPr>
        <w:pStyle w:val="2"/>
        <w:rPr>
          <w:rFonts w:hint="eastAsia"/>
        </w:rPr>
      </w:pPr>
      <w:r>
        <w:rPr>
          <w:rFonts w:hint="eastAsia"/>
        </w:rPr>
        <w:t>E(1), Seddon JA(3)(9).</w:t>
      </w:r>
    </w:p>
    <w:p w14:paraId="213F7361">
      <w:pPr>
        <w:pStyle w:val="2"/>
        <w:rPr>
          <w:rFonts w:hint="eastAsia"/>
        </w:rPr>
      </w:pPr>
    </w:p>
    <w:p w14:paraId="47CD3A9F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19219DAA">
      <w:pPr>
        <w:pStyle w:val="2"/>
        <w:rPr>
          <w:rFonts w:hint="eastAsia"/>
        </w:rPr>
      </w:pPr>
      <w:r>
        <w:rPr>
          <w:rFonts w:hint="eastAsia"/>
        </w:rPr>
        <w:t xml:space="preserve">(1)Health Economics Unit, School of Public Health, University of Cape Town, Cape </w:t>
      </w:r>
    </w:p>
    <w:p w14:paraId="45C6725C">
      <w:pPr>
        <w:pStyle w:val="2"/>
        <w:rPr>
          <w:rFonts w:hint="eastAsia"/>
        </w:rPr>
      </w:pPr>
      <w:r>
        <w:rPr>
          <w:rFonts w:hint="eastAsia"/>
        </w:rPr>
        <w:t>Town, South Africa.</w:t>
      </w:r>
    </w:p>
    <w:p w14:paraId="7897E1D2">
      <w:pPr>
        <w:pStyle w:val="2"/>
        <w:rPr>
          <w:rFonts w:hint="eastAsia"/>
        </w:rPr>
      </w:pPr>
      <w:r>
        <w:rPr>
          <w:rFonts w:hint="eastAsia"/>
        </w:rPr>
        <w:t xml:space="preserve">(2)Division of Molecular Biology and Human Genetics, Stellenbosch University, </w:t>
      </w:r>
    </w:p>
    <w:p w14:paraId="6807AA0F">
      <w:pPr>
        <w:pStyle w:val="2"/>
        <w:rPr>
          <w:rFonts w:hint="eastAsia"/>
        </w:rPr>
      </w:pPr>
      <w:r>
        <w:rPr>
          <w:rFonts w:hint="eastAsia"/>
        </w:rPr>
        <w:t>Cape Town, South Africa.</w:t>
      </w:r>
    </w:p>
    <w:p w14:paraId="0760A77D">
      <w:pPr>
        <w:pStyle w:val="2"/>
        <w:rPr>
          <w:rFonts w:hint="eastAsia"/>
        </w:rPr>
      </w:pPr>
      <w:r>
        <w:rPr>
          <w:rFonts w:hint="eastAsia"/>
        </w:rPr>
        <w:t xml:space="preserve">(3)Desmond Tutu TB Centre, Department of Paediatrics and Child Health, </w:t>
      </w:r>
    </w:p>
    <w:p w14:paraId="1B39F028">
      <w:pPr>
        <w:pStyle w:val="2"/>
        <w:rPr>
          <w:rFonts w:hint="eastAsia"/>
        </w:rPr>
      </w:pPr>
      <w:r>
        <w:rPr>
          <w:rFonts w:hint="eastAsia"/>
        </w:rPr>
        <w:t>Stellenbosch University, Cape Town, South Africa.</w:t>
      </w:r>
    </w:p>
    <w:p w14:paraId="38C815ED">
      <w:pPr>
        <w:pStyle w:val="2"/>
        <w:rPr>
          <w:rFonts w:hint="eastAsia"/>
        </w:rPr>
      </w:pPr>
      <w:r>
        <w:rPr>
          <w:rFonts w:hint="eastAsia"/>
        </w:rPr>
        <w:t xml:space="preserve">(4)Innovative Clinical Trials Unit, Institute of Clinical Trials and </w:t>
      </w:r>
    </w:p>
    <w:p w14:paraId="530801EE">
      <w:pPr>
        <w:pStyle w:val="2"/>
        <w:rPr>
          <w:rFonts w:hint="eastAsia"/>
        </w:rPr>
      </w:pPr>
      <w:r>
        <w:rPr>
          <w:rFonts w:hint="eastAsia"/>
        </w:rPr>
        <w:t>Methodology, University College London, London, United Kingdom.</w:t>
      </w:r>
    </w:p>
    <w:p w14:paraId="6C1CDD8F">
      <w:pPr>
        <w:pStyle w:val="2"/>
        <w:rPr>
          <w:rFonts w:hint="eastAsia"/>
        </w:rPr>
      </w:pPr>
      <w:r>
        <w:rPr>
          <w:rFonts w:hint="eastAsia"/>
        </w:rPr>
        <w:t xml:space="preserve">(5)Wits Research Health Institute, Faculty of Health Sciences, University of the </w:t>
      </w:r>
    </w:p>
    <w:p w14:paraId="55BA7C88">
      <w:pPr>
        <w:pStyle w:val="2"/>
        <w:rPr>
          <w:rFonts w:hint="eastAsia"/>
        </w:rPr>
      </w:pPr>
      <w:r>
        <w:rPr>
          <w:rFonts w:hint="eastAsia"/>
        </w:rPr>
        <w:t>Witwatersrand, Johannesburg, South Africa.</w:t>
      </w:r>
    </w:p>
    <w:p w14:paraId="04120881">
      <w:pPr>
        <w:pStyle w:val="2"/>
        <w:rPr>
          <w:rFonts w:hint="eastAsia"/>
        </w:rPr>
      </w:pPr>
      <w:r>
        <w:rPr>
          <w:rFonts w:hint="eastAsia"/>
        </w:rPr>
        <w:t>(6)THINK, THINK South Africa, Durban, South Africa.</w:t>
      </w:r>
    </w:p>
    <w:p w14:paraId="3A279C4D">
      <w:pPr>
        <w:pStyle w:val="2"/>
        <w:rPr>
          <w:rFonts w:hint="eastAsia"/>
        </w:rPr>
      </w:pPr>
      <w:r>
        <w:rPr>
          <w:rFonts w:hint="eastAsia"/>
        </w:rPr>
        <w:t xml:space="preserve">(7)Perinatal HIV Research Unit (PHRU) and Infectious Diseases and Oncology </w:t>
      </w:r>
    </w:p>
    <w:p w14:paraId="0325533E">
      <w:pPr>
        <w:pStyle w:val="2"/>
        <w:rPr>
          <w:rFonts w:hint="eastAsia"/>
        </w:rPr>
      </w:pPr>
      <w:r>
        <w:rPr>
          <w:rFonts w:hint="eastAsia"/>
        </w:rPr>
        <w:t>Research Institute, University of Witwatersrand, Johannesburg, South Africa.</w:t>
      </w:r>
    </w:p>
    <w:p w14:paraId="31AA6162">
      <w:pPr>
        <w:pStyle w:val="2"/>
        <w:rPr>
          <w:rFonts w:hint="eastAsia"/>
        </w:rPr>
      </w:pPr>
      <w:r>
        <w:rPr>
          <w:rFonts w:hint="eastAsia"/>
        </w:rPr>
        <w:t xml:space="preserve">(8)Division of Infectious Diseases, School of Medicine, Johns Hopkins </w:t>
      </w:r>
    </w:p>
    <w:p w14:paraId="24915232">
      <w:pPr>
        <w:pStyle w:val="2"/>
        <w:rPr>
          <w:rFonts w:hint="eastAsia"/>
        </w:rPr>
      </w:pPr>
      <w:r>
        <w:rPr>
          <w:rFonts w:hint="eastAsia"/>
        </w:rPr>
        <w:t>University, Baltimore, United States of America.</w:t>
      </w:r>
    </w:p>
    <w:p w14:paraId="72799241">
      <w:pPr>
        <w:pStyle w:val="2"/>
        <w:rPr>
          <w:rFonts w:hint="eastAsia"/>
        </w:rPr>
      </w:pPr>
      <w:r>
        <w:rPr>
          <w:rFonts w:hint="eastAsia"/>
        </w:rPr>
        <w:t xml:space="preserve">(9)Department of Infectious Disease, Imperial College London, London, United </w:t>
      </w:r>
    </w:p>
    <w:p w14:paraId="11A3AE09">
      <w:pPr>
        <w:pStyle w:val="2"/>
        <w:rPr>
          <w:rFonts w:hint="eastAsia"/>
        </w:rPr>
      </w:pPr>
      <w:r>
        <w:rPr>
          <w:rFonts w:hint="eastAsia"/>
        </w:rPr>
        <w:t>Kingdom.</w:t>
      </w:r>
    </w:p>
    <w:p w14:paraId="673455C5">
      <w:pPr>
        <w:pStyle w:val="2"/>
        <w:rPr>
          <w:rFonts w:hint="eastAsia"/>
        </w:rPr>
      </w:pPr>
    </w:p>
    <w:p w14:paraId="019C4811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Tuberculosis (TB) preventive treatment (TPT) is a core component of </w:t>
      </w:r>
    </w:p>
    <w:p w14:paraId="35FD9193">
      <w:pPr>
        <w:pStyle w:val="2"/>
        <w:rPr>
          <w:rFonts w:hint="eastAsia"/>
        </w:rPr>
      </w:pPr>
      <w:r>
        <w:rPr>
          <w:rFonts w:hint="eastAsia"/>
        </w:rPr>
        <w:t xml:space="preserve">TB control. Levofloxacin was recently recommended by the World Health </w:t>
      </w:r>
    </w:p>
    <w:p w14:paraId="47701ED1">
      <w:pPr>
        <w:pStyle w:val="2"/>
        <w:rPr>
          <w:rFonts w:hint="eastAsia"/>
        </w:rPr>
      </w:pPr>
      <w:r>
        <w:rPr>
          <w:rFonts w:hint="eastAsia"/>
        </w:rPr>
        <w:t xml:space="preserve">Organization as TPT in children exposed to multidrug-resistant tuberculosis </w:t>
      </w:r>
    </w:p>
    <w:p w14:paraId="6625C860">
      <w:pPr>
        <w:pStyle w:val="2"/>
        <w:rPr>
          <w:rFonts w:hint="eastAsia"/>
        </w:rPr>
      </w:pPr>
      <w:r>
        <w:rPr>
          <w:rFonts w:hint="eastAsia"/>
        </w:rPr>
        <w:t xml:space="preserve">(MDR-TB). However, the affordability and feasibility of TPT provision for </w:t>
      </w:r>
    </w:p>
    <w:p w14:paraId="218F956D">
      <w:pPr>
        <w:pStyle w:val="2"/>
        <w:rPr>
          <w:rFonts w:hint="eastAsia"/>
        </w:rPr>
      </w:pPr>
      <w:r>
        <w:rPr>
          <w:rFonts w:hint="eastAsia"/>
        </w:rPr>
        <w:t xml:space="preserve">governments, health services, individual households and global donors is </w:t>
      </w:r>
    </w:p>
    <w:p w14:paraId="50BC2D94">
      <w:pPr>
        <w:pStyle w:val="2"/>
        <w:rPr>
          <w:rFonts w:hint="eastAsia"/>
        </w:rPr>
      </w:pPr>
      <w:r>
        <w:rPr>
          <w:rFonts w:hint="eastAsia"/>
        </w:rPr>
        <w:t>uncertain.</w:t>
      </w:r>
    </w:p>
    <w:p w14:paraId="74CF7C14">
      <w:pPr>
        <w:pStyle w:val="2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This costing analysis used empirical data collected alongside the </w:t>
      </w:r>
    </w:p>
    <w:p w14:paraId="5707B847">
      <w:pPr>
        <w:pStyle w:val="2"/>
        <w:rPr>
          <w:rFonts w:hint="eastAsia"/>
        </w:rPr>
      </w:pPr>
      <w:r>
        <w:rPr>
          <w:rFonts w:hint="eastAsia"/>
        </w:rPr>
        <w:t xml:space="preserve">TB-CHAMP clinical trial which investigated levofloxacin TPT in children exposed </w:t>
      </w:r>
    </w:p>
    <w:p w14:paraId="37B11594">
      <w:pPr>
        <w:pStyle w:val="2"/>
        <w:rPr>
          <w:rFonts w:hint="eastAsia"/>
        </w:rPr>
      </w:pPr>
      <w:r>
        <w:rPr>
          <w:rFonts w:hint="eastAsia"/>
        </w:rPr>
        <w:t xml:space="preserve">to MDR-TB in South Africa. We modelled the societal (health system and </w:t>
      </w:r>
    </w:p>
    <w:p w14:paraId="272C515D">
      <w:pPr>
        <w:pStyle w:val="2"/>
        <w:rPr>
          <w:rFonts w:hint="eastAsia"/>
        </w:rPr>
      </w:pPr>
      <w:r>
        <w:rPr>
          <w:rFonts w:hint="eastAsia"/>
        </w:rPr>
        <w:t xml:space="preserve">household) cost of levofloxacin TPT, other potential future (but not currently </w:t>
      </w:r>
    </w:p>
    <w:p w14:paraId="5E02F140">
      <w:pPr>
        <w:pStyle w:val="2"/>
        <w:rPr>
          <w:rFonts w:hint="eastAsia"/>
        </w:rPr>
      </w:pPr>
      <w:r>
        <w:rPr>
          <w:rFonts w:hint="eastAsia"/>
        </w:rPr>
        <w:t xml:space="preserve">recommended) MDR-TB exposure TPT options and compared with drug-susceptible TPT </w:t>
      </w:r>
    </w:p>
    <w:p w14:paraId="3440A282">
      <w:pPr>
        <w:pStyle w:val="2"/>
        <w:rPr>
          <w:rFonts w:hint="eastAsia"/>
        </w:rPr>
      </w:pPr>
      <w:r>
        <w:rPr>
          <w:rFonts w:hint="eastAsia"/>
        </w:rPr>
        <w:t xml:space="preserve">options in children and adolescents under 15 years old. We modelled costs across </w:t>
      </w:r>
    </w:p>
    <w:p w14:paraId="5C9CBF94">
      <w:pPr>
        <w:pStyle w:val="2"/>
        <w:rPr>
          <w:rFonts w:hint="eastAsia"/>
        </w:rPr>
      </w:pPr>
      <w:r>
        <w:rPr>
          <w:rFonts w:hint="eastAsia"/>
        </w:rPr>
        <w:t xml:space="preserve">12 different medicine and formulation options for 11 paediatric dosing </w:t>
      </w:r>
    </w:p>
    <w:p w14:paraId="1309E1CE">
      <w:pPr>
        <w:pStyle w:val="2"/>
        <w:rPr>
          <w:rFonts w:hint="eastAsia"/>
        </w:rPr>
      </w:pPr>
      <w:r>
        <w:rPr>
          <w:rFonts w:hint="eastAsia"/>
        </w:rPr>
        <w:t xml:space="preserve">weight-bands using TB-CHAMP and household survey data, with national and </w:t>
      </w:r>
    </w:p>
    <w:p w14:paraId="00DEB9CC">
      <w:pPr>
        <w:pStyle w:val="2"/>
        <w:rPr>
          <w:rFonts w:hint="eastAsia"/>
        </w:rPr>
      </w:pPr>
      <w:r>
        <w:rPr>
          <w:rFonts w:hint="eastAsia"/>
        </w:rPr>
        <w:t>international procurement medicine pricing.</w:t>
      </w:r>
    </w:p>
    <w:p w14:paraId="305F524E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Total societal costs of providing levofloxacin TPT and its monitoring </w:t>
      </w:r>
    </w:p>
    <w:p w14:paraId="57FCB173">
      <w:pPr>
        <w:pStyle w:val="2"/>
        <w:rPr>
          <w:rFonts w:hint="eastAsia"/>
        </w:rPr>
      </w:pPr>
      <w:r>
        <w:rPr>
          <w:rFonts w:hint="eastAsia"/>
        </w:rPr>
        <w:t xml:space="preserve">per child were US$252 (0- &lt; 5 years) and US$256 (5- &lt; 15-years) and had </w:t>
      </w:r>
    </w:p>
    <w:p w14:paraId="66E40BF5">
      <w:pPr>
        <w:pStyle w:val="2"/>
        <w:rPr>
          <w:rFonts w:hint="eastAsia"/>
        </w:rPr>
      </w:pPr>
      <w:r>
        <w:rPr>
          <w:rFonts w:hint="eastAsia"/>
        </w:rPr>
        <w:t xml:space="preserve">comparable costs to drug-susceptible TPT regimens when using Global Drug </w:t>
      </w:r>
    </w:p>
    <w:p w14:paraId="347E0837">
      <w:pPr>
        <w:pStyle w:val="2"/>
        <w:rPr>
          <w:rFonts w:hint="eastAsia"/>
        </w:rPr>
      </w:pPr>
      <w:r>
        <w:rPr>
          <w:rFonts w:hint="eastAsia"/>
        </w:rPr>
        <w:t xml:space="preserve">Facility pricing. Pharmaceutical costs for a course of TPT using child-friendly </w:t>
      </w:r>
    </w:p>
    <w:p w14:paraId="0E84E6EB">
      <w:pPr>
        <w:pStyle w:val="2"/>
        <w:rPr>
          <w:rFonts w:hint="eastAsia"/>
        </w:rPr>
      </w:pPr>
      <w:r>
        <w:rPr>
          <w:rFonts w:hint="eastAsia"/>
        </w:rPr>
        <w:t xml:space="preserve">formulations in children &lt;5 years varied between US$38 (levofloxacin), US$80 </w:t>
      </w:r>
    </w:p>
    <w:p w14:paraId="2AA2A52C">
      <w:pPr>
        <w:pStyle w:val="2"/>
        <w:rPr>
          <w:rFonts w:hint="eastAsia"/>
        </w:rPr>
      </w:pPr>
      <w:r>
        <w:rPr>
          <w:rFonts w:hint="eastAsia"/>
        </w:rPr>
        <w:t xml:space="preserve">(bedaquiline) and US$582 (delamanid). Household costs associated with accessing </w:t>
      </w:r>
    </w:p>
    <w:p w14:paraId="6B313165">
      <w:pPr>
        <w:pStyle w:val="2"/>
        <w:rPr>
          <w:rFonts w:hint="eastAsia"/>
        </w:rPr>
      </w:pPr>
      <w:r>
        <w:rPr>
          <w:rFonts w:hint="eastAsia"/>
        </w:rPr>
        <w:t xml:space="preserve">TPT and ongoing monitoring ranged from 1.6%-2.1% of median annual income of </w:t>
      </w:r>
    </w:p>
    <w:p w14:paraId="312B5588">
      <w:pPr>
        <w:pStyle w:val="2"/>
        <w:rPr>
          <w:rFonts w:hint="eastAsia"/>
        </w:rPr>
      </w:pPr>
      <w:r>
        <w:rPr>
          <w:rFonts w:hint="eastAsia"/>
        </w:rPr>
        <w:t xml:space="preserve">affected households, with shorter TPT courses incurring lower household costs. </w:t>
      </w:r>
    </w:p>
    <w:p w14:paraId="72EF7C3A">
      <w:pPr>
        <w:pStyle w:val="2"/>
        <w:rPr>
          <w:rFonts w:hint="eastAsia"/>
        </w:rPr>
      </w:pPr>
      <w:r>
        <w:rPr>
          <w:rFonts w:hint="eastAsia"/>
        </w:rPr>
        <w:t xml:space="preserve">Global Drug Facility procurement achieved TPT pricing at 70% of the costs of </w:t>
      </w:r>
    </w:p>
    <w:p w14:paraId="6DE82943">
      <w:pPr>
        <w:pStyle w:val="2"/>
        <w:rPr>
          <w:rFonts w:hint="eastAsia"/>
        </w:rPr>
      </w:pPr>
      <w:r>
        <w:rPr>
          <w:rFonts w:hint="eastAsia"/>
        </w:rPr>
        <w:t xml:space="preserve">national South African procurement, and enabled access to a wider range of </w:t>
      </w:r>
    </w:p>
    <w:p w14:paraId="5498633D">
      <w:pPr>
        <w:pStyle w:val="2"/>
        <w:rPr>
          <w:rFonts w:hint="eastAsia"/>
        </w:rPr>
      </w:pPr>
      <w:r>
        <w:rPr>
          <w:rFonts w:hint="eastAsia"/>
        </w:rPr>
        <w:t>child-friendly formulations.</w:t>
      </w:r>
    </w:p>
    <w:p w14:paraId="05FB0421">
      <w:pPr>
        <w:pStyle w:val="2"/>
        <w:rPr>
          <w:rFonts w:hint="eastAsia"/>
        </w:rPr>
      </w:pPr>
      <w:r>
        <w:rPr>
          <w:rFonts w:hint="eastAsia"/>
          <w:b/>
          <w:bCs/>
        </w:rPr>
        <w:t>DISCUSSION:</w:t>
      </w:r>
      <w:r>
        <w:rPr>
          <w:rFonts w:hint="eastAsia"/>
        </w:rPr>
        <w:t xml:space="preserve"> Costs of TPT are influenced by factors including medicine pricing </w:t>
      </w:r>
    </w:p>
    <w:p w14:paraId="45A50BC3">
      <w:pPr>
        <w:pStyle w:val="2"/>
        <w:rPr>
          <w:rFonts w:hint="eastAsia"/>
        </w:rPr>
      </w:pPr>
      <w:r>
        <w:rPr>
          <w:rFonts w:hint="eastAsia"/>
        </w:rPr>
        <w:t xml:space="preserve">and procurement, the use of child-friendly formulations, implementation </w:t>
      </w:r>
    </w:p>
    <w:p w14:paraId="7F95BAEE">
      <w:pPr>
        <w:pStyle w:val="2"/>
        <w:rPr>
          <w:rFonts w:hint="eastAsia"/>
        </w:rPr>
      </w:pPr>
      <w:r>
        <w:rPr>
          <w:rFonts w:hint="eastAsia"/>
        </w:rPr>
        <w:t xml:space="preserve">approach, the duration of treatment, and choice of TPT regimen across weight and </w:t>
      </w:r>
    </w:p>
    <w:p w14:paraId="777DA93A">
      <w:pPr>
        <w:pStyle w:val="2"/>
        <w:rPr>
          <w:rFonts w:hint="eastAsia"/>
        </w:rPr>
      </w:pPr>
      <w:r>
        <w:rPr>
          <w:rFonts w:hint="eastAsia"/>
        </w:rPr>
        <w:t xml:space="preserve">age distributions. Costs to households are relatively small but may be </w:t>
      </w:r>
    </w:p>
    <w:p w14:paraId="5580974A">
      <w:pPr>
        <w:pStyle w:val="2"/>
        <w:rPr>
          <w:rFonts w:hint="eastAsia"/>
        </w:rPr>
      </w:pPr>
      <w:r>
        <w:rPr>
          <w:rFonts w:hint="eastAsia"/>
        </w:rPr>
        <w:t xml:space="preserve">significant for impoverished households already managing the financial </w:t>
      </w:r>
    </w:p>
    <w:p w14:paraId="5F638778">
      <w:pPr>
        <w:pStyle w:val="2"/>
        <w:rPr>
          <w:rFonts w:hint="eastAsia"/>
        </w:rPr>
      </w:pPr>
      <w:r>
        <w:rPr>
          <w:rFonts w:hint="eastAsia"/>
        </w:rPr>
        <w:t>disruption of a family member with MDR-TB disease.</w:t>
      </w:r>
    </w:p>
    <w:p w14:paraId="53B17E3D">
      <w:pPr>
        <w:pStyle w:val="2"/>
        <w:rPr>
          <w:rFonts w:hint="eastAsia"/>
        </w:rPr>
      </w:pPr>
    </w:p>
    <w:p w14:paraId="1BC7828E">
      <w:pPr>
        <w:pStyle w:val="2"/>
        <w:rPr>
          <w:rFonts w:hint="eastAsia"/>
        </w:rPr>
      </w:pPr>
      <w:r>
        <w:rPr>
          <w:rFonts w:hint="eastAsia"/>
        </w:rPr>
        <w:t xml:space="preserve">Copyright: © 2026 Wilkinson et al. This is an open access article distributed </w:t>
      </w:r>
    </w:p>
    <w:p w14:paraId="1855E103">
      <w:pPr>
        <w:pStyle w:val="2"/>
        <w:rPr>
          <w:rFonts w:hint="eastAsia"/>
        </w:rPr>
      </w:pPr>
      <w:r>
        <w:rPr>
          <w:rFonts w:hint="eastAsia"/>
        </w:rPr>
        <w:t xml:space="preserve">under the terms of the Creative Commons Attribution License, which permits </w:t>
      </w:r>
    </w:p>
    <w:p w14:paraId="0F4F1F28">
      <w:pPr>
        <w:pStyle w:val="2"/>
        <w:rPr>
          <w:rFonts w:hint="eastAsia"/>
        </w:rPr>
      </w:pPr>
      <w:r>
        <w:rPr>
          <w:rFonts w:hint="eastAsia"/>
        </w:rPr>
        <w:t xml:space="preserve">unrestricted use, distribution, and reproduction in any medium, provided the </w:t>
      </w:r>
    </w:p>
    <w:p w14:paraId="6E8C03D1">
      <w:pPr>
        <w:pStyle w:val="2"/>
        <w:rPr>
          <w:rFonts w:hint="eastAsia"/>
        </w:rPr>
      </w:pPr>
      <w:r>
        <w:rPr>
          <w:rFonts w:hint="eastAsia"/>
        </w:rPr>
        <w:t>original author and source are credited.</w:t>
      </w:r>
    </w:p>
    <w:p w14:paraId="4D061429">
      <w:pPr>
        <w:pStyle w:val="2"/>
        <w:rPr>
          <w:rFonts w:hint="eastAsia"/>
        </w:rPr>
      </w:pPr>
    </w:p>
    <w:p w14:paraId="5BD06F30">
      <w:pPr>
        <w:pStyle w:val="2"/>
        <w:rPr>
          <w:rFonts w:hint="eastAsia"/>
        </w:rPr>
      </w:pPr>
      <w:r>
        <w:rPr>
          <w:rFonts w:hint="eastAsia"/>
        </w:rPr>
        <w:t>DOI: 10.1371/journal.pone.0336561</w:t>
      </w:r>
    </w:p>
    <w:p w14:paraId="3BCB7007">
      <w:pPr>
        <w:pStyle w:val="2"/>
        <w:rPr>
          <w:rFonts w:hint="eastAsia"/>
        </w:rPr>
      </w:pPr>
      <w:r>
        <w:rPr>
          <w:rFonts w:hint="eastAsia"/>
        </w:rPr>
        <w:t>PMCID: PMC13648985</w:t>
      </w:r>
    </w:p>
    <w:p w14:paraId="6AF5A5CA">
      <w:pPr>
        <w:pStyle w:val="2"/>
        <w:rPr>
          <w:rFonts w:hint="eastAsia"/>
        </w:rPr>
      </w:pPr>
      <w:r>
        <w:rPr>
          <w:rFonts w:hint="eastAsia"/>
        </w:rPr>
        <w:t>PMID: 42848774 [Indexed for MEDLINE]</w:t>
      </w:r>
    </w:p>
    <w:p w14:paraId="06F47E0E">
      <w:pPr>
        <w:pStyle w:val="2"/>
        <w:rPr>
          <w:rFonts w:hint="eastAsia"/>
        </w:rPr>
      </w:pPr>
    </w:p>
    <w:p w14:paraId="6EA9692E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2</w:t>
      </w:r>
      <w:r>
        <w:rPr>
          <w:rFonts w:hint="eastAsia"/>
          <w:b/>
          <w:bCs/>
          <w:color w:val="FF0000"/>
          <w:lang w:val="en-US" w:eastAsia="zh-CN"/>
        </w:rPr>
        <w:t>6</w:t>
      </w:r>
      <w:r>
        <w:rPr>
          <w:rFonts w:hint="eastAsia"/>
          <w:b/>
          <w:bCs/>
          <w:color w:val="FF0000"/>
        </w:rPr>
        <w:t xml:space="preserve">. PLOS Glob Public Health. 2026 Oct 8;6(10):e0007429. doi: </w:t>
      </w:r>
    </w:p>
    <w:p w14:paraId="7C3A41B4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10.1371/journal.pgph.0007429. eCollection 2026.</w:t>
      </w:r>
    </w:p>
    <w:p w14:paraId="422E9247">
      <w:pPr>
        <w:pStyle w:val="2"/>
        <w:rPr>
          <w:rFonts w:hint="eastAsia"/>
        </w:rPr>
      </w:pPr>
    </w:p>
    <w:p w14:paraId="28463006">
      <w:pPr>
        <w:pStyle w:val="2"/>
        <w:rPr>
          <w:rFonts w:hint="eastAsia"/>
        </w:rPr>
      </w:pPr>
      <w:r>
        <w:rPr>
          <w:rFonts w:hint="eastAsia"/>
        </w:rPr>
        <w:t xml:space="preserve">Implementing computer‑aided detection for TB active case finding: A qualitative </w:t>
      </w:r>
    </w:p>
    <w:p w14:paraId="021ECABF">
      <w:pPr>
        <w:pStyle w:val="2"/>
        <w:rPr>
          <w:rFonts w:hint="eastAsia"/>
        </w:rPr>
      </w:pPr>
      <w:r>
        <w:rPr>
          <w:rFonts w:hint="eastAsia"/>
        </w:rPr>
        <w:t>study of feasibility and acceptability in Tondo, Manila.</w:t>
      </w:r>
    </w:p>
    <w:p w14:paraId="3CD31263">
      <w:pPr>
        <w:pStyle w:val="2"/>
        <w:rPr>
          <w:rFonts w:hint="eastAsia"/>
        </w:rPr>
      </w:pPr>
    </w:p>
    <w:p w14:paraId="1BCFB873">
      <w:pPr>
        <w:pStyle w:val="2"/>
        <w:rPr>
          <w:rFonts w:hint="eastAsia"/>
        </w:rPr>
      </w:pPr>
      <w:r>
        <w:rPr>
          <w:rFonts w:hint="eastAsia"/>
        </w:rPr>
        <w:t xml:space="preserve">Yonally Phillips E(1), Galvan MDKP(2), Min J(3), Hewison C(4), Duyala C(2), </w:t>
      </w:r>
    </w:p>
    <w:p w14:paraId="2AF57910">
      <w:pPr>
        <w:pStyle w:val="2"/>
        <w:rPr>
          <w:rFonts w:hint="eastAsia"/>
        </w:rPr>
      </w:pPr>
      <w:r>
        <w:rPr>
          <w:rFonts w:hint="eastAsia"/>
        </w:rPr>
        <w:t xml:space="preserve">Palmado JC(2), Peral SN(2), Camelique O(2), Roxas MRC(2), Duka MD(2), Pardilla </w:t>
      </w:r>
    </w:p>
    <w:p w14:paraId="4D77A55A">
      <w:pPr>
        <w:pStyle w:val="2"/>
        <w:rPr>
          <w:rFonts w:hint="eastAsia"/>
        </w:rPr>
      </w:pPr>
      <w:r>
        <w:rPr>
          <w:rFonts w:hint="eastAsia"/>
        </w:rPr>
        <w:t>GF(5), Recidoro MJC(6), Castro RH(6), Hossain F(7), Huerga H(1), Carnimeo V(1).</w:t>
      </w:r>
    </w:p>
    <w:p w14:paraId="79FF2CB2">
      <w:pPr>
        <w:pStyle w:val="2"/>
        <w:rPr>
          <w:rFonts w:hint="eastAsia"/>
        </w:rPr>
      </w:pPr>
    </w:p>
    <w:p w14:paraId="5CB30D70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291DEF75">
      <w:pPr>
        <w:pStyle w:val="2"/>
        <w:rPr>
          <w:rFonts w:hint="eastAsia"/>
        </w:rPr>
      </w:pPr>
      <w:r>
        <w:rPr>
          <w:rFonts w:hint="eastAsia"/>
        </w:rPr>
        <w:t xml:space="preserve">(1)Epicentre, Interventional Epidemiology and Training Department, Paris, </w:t>
      </w:r>
    </w:p>
    <w:p w14:paraId="2BA7A5E1">
      <w:pPr>
        <w:pStyle w:val="2"/>
        <w:rPr>
          <w:rFonts w:hint="eastAsia"/>
        </w:rPr>
      </w:pPr>
      <w:r>
        <w:rPr>
          <w:rFonts w:hint="eastAsia"/>
        </w:rPr>
        <w:t>France.</w:t>
      </w:r>
    </w:p>
    <w:p w14:paraId="36D5DAB0">
      <w:pPr>
        <w:pStyle w:val="2"/>
        <w:rPr>
          <w:rFonts w:hint="eastAsia"/>
        </w:rPr>
      </w:pPr>
      <w:r>
        <w:rPr>
          <w:rFonts w:hint="eastAsia"/>
        </w:rPr>
        <w:t xml:space="preserve">(2)Médecins Sans Frontières, Operational Center Paris, Tondo Project, Manila, </w:t>
      </w:r>
    </w:p>
    <w:p w14:paraId="6D25B01C">
      <w:pPr>
        <w:pStyle w:val="2"/>
        <w:rPr>
          <w:rFonts w:hint="eastAsia"/>
        </w:rPr>
      </w:pPr>
      <w:r>
        <w:rPr>
          <w:rFonts w:hint="eastAsia"/>
        </w:rPr>
        <w:t>Philippines.</w:t>
      </w:r>
    </w:p>
    <w:p w14:paraId="69C07F31">
      <w:pPr>
        <w:pStyle w:val="2"/>
        <w:rPr>
          <w:rFonts w:hint="eastAsia"/>
        </w:rPr>
      </w:pPr>
      <w:r>
        <w:rPr>
          <w:rFonts w:hint="eastAsia"/>
        </w:rPr>
        <w:t>(3)Médecins Sans Frontières International, Amsterdam, Netherlands.</w:t>
      </w:r>
    </w:p>
    <w:p w14:paraId="55CE4497">
      <w:pPr>
        <w:pStyle w:val="2"/>
        <w:rPr>
          <w:rFonts w:hint="eastAsia"/>
        </w:rPr>
      </w:pPr>
      <w:r>
        <w:rPr>
          <w:rFonts w:hint="eastAsia"/>
        </w:rPr>
        <w:t>(4)Médecins Sans Frontières, Operational Center Paris, Paris, France.</w:t>
      </w:r>
    </w:p>
    <w:p w14:paraId="3BB7D452">
      <w:pPr>
        <w:pStyle w:val="2"/>
        <w:rPr>
          <w:rFonts w:hint="eastAsia"/>
        </w:rPr>
      </w:pPr>
      <w:r>
        <w:rPr>
          <w:rFonts w:hint="eastAsia"/>
        </w:rPr>
        <w:t>(5)Research Office, Manila Health Department, Manila, Philippines.</w:t>
      </w:r>
    </w:p>
    <w:p w14:paraId="166F6B1E">
      <w:pPr>
        <w:pStyle w:val="2"/>
        <w:rPr>
          <w:rFonts w:hint="eastAsia"/>
        </w:rPr>
      </w:pPr>
      <w:r>
        <w:rPr>
          <w:rFonts w:hint="eastAsia"/>
        </w:rPr>
        <w:t xml:space="preserve">(6)TB Prevention and Control Section, Manila Health Department, Manila, </w:t>
      </w:r>
    </w:p>
    <w:p w14:paraId="4248F9B4">
      <w:pPr>
        <w:pStyle w:val="2"/>
        <w:rPr>
          <w:rFonts w:hint="eastAsia"/>
        </w:rPr>
      </w:pPr>
      <w:r>
        <w:rPr>
          <w:rFonts w:hint="eastAsia"/>
        </w:rPr>
        <w:t>Philippines.</w:t>
      </w:r>
    </w:p>
    <w:p w14:paraId="34D3AD68">
      <w:pPr>
        <w:pStyle w:val="2"/>
        <w:rPr>
          <w:rFonts w:hint="eastAsia"/>
        </w:rPr>
      </w:pPr>
      <w:r>
        <w:rPr>
          <w:rFonts w:hint="eastAsia"/>
        </w:rPr>
        <w:t xml:space="preserve">(7)Médecins Sans Frontières Operational Center Paris, Section Japan, Tokyo, </w:t>
      </w:r>
    </w:p>
    <w:p w14:paraId="1887580A">
      <w:pPr>
        <w:pStyle w:val="2"/>
        <w:rPr>
          <w:rFonts w:hint="eastAsia"/>
        </w:rPr>
      </w:pPr>
      <w:r>
        <w:rPr>
          <w:rFonts w:hint="eastAsia"/>
        </w:rPr>
        <w:t>Japan.</w:t>
      </w:r>
    </w:p>
    <w:p w14:paraId="688FD501">
      <w:pPr>
        <w:pStyle w:val="2"/>
        <w:rPr>
          <w:rFonts w:hint="eastAsia"/>
        </w:rPr>
      </w:pPr>
    </w:p>
    <w:p w14:paraId="14CA587C">
      <w:pPr>
        <w:pStyle w:val="2"/>
        <w:rPr>
          <w:rFonts w:hint="eastAsia"/>
        </w:rPr>
      </w:pPr>
      <w:r>
        <w:rPr>
          <w:rFonts w:hint="eastAsia"/>
        </w:rPr>
        <w:t xml:space="preserve">Tuberculosis (TB) remains the leading cause of death from a single infectious </w:t>
      </w:r>
    </w:p>
    <w:p w14:paraId="55F0D3ED">
      <w:pPr>
        <w:pStyle w:val="2"/>
        <w:rPr>
          <w:rFonts w:hint="eastAsia"/>
        </w:rPr>
      </w:pPr>
      <w:r>
        <w:rPr>
          <w:rFonts w:hint="eastAsia"/>
        </w:rPr>
        <w:t xml:space="preserve">agent, with over 1.23 million deaths globally in 2024. Despite available </w:t>
      </w:r>
    </w:p>
    <w:p w14:paraId="46D5E72D">
      <w:pPr>
        <w:pStyle w:val="2"/>
        <w:rPr>
          <w:rFonts w:hint="eastAsia"/>
        </w:rPr>
      </w:pPr>
      <w:r>
        <w:rPr>
          <w:rFonts w:hint="eastAsia"/>
        </w:rPr>
        <w:t xml:space="preserve">treatment and prevention strategies, timely and accurate detection remains </w:t>
      </w:r>
    </w:p>
    <w:p w14:paraId="005CF859">
      <w:pPr>
        <w:pStyle w:val="2"/>
        <w:rPr>
          <w:rFonts w:hint="eastAsia"/>
        </w:rPr>
      </w:pPr>
      <w:r>
        <w:rPr>
          <w:rFonts w:hint="eastAsia"/>
        </w:rPr>
        <w:t xml:space="preserve">challenging, particularly in high-burden settings such as the Philippines, which </w:t>
      </w:r>
    </w:p>
    <w:p w14:paraId="094E7876">
      <w:pPr>
        <w:pStyle w:val="2"/>
        <w:rPr>
          <w:rFonts w:hint="eastAsia"/>
        </w:rPr>
      </w:pPr>
      <w:r>
        <w:rPr>
          <w:rFonts w:hint="eastAsia"/>
        </w:rPr>
        <w:t xml:space="preserve">accounted for 6.8% of the global burden of TB in 2024. Computer-aided detection </w:t>
      </w:r>
    </w:p>
    <w:p w14:paraId="4C00C382">
      <w:pPr>
        <w:pStyle w:val="2"/>
        <w:rPr>
          <w:rFonts w:hint="eastAsia"/>
        </w:rPr>
      </w:pPr>
      <w:r>
        <w:rPr>
          <w:rFonts w:hint="eastAsia"/>
        </w:rPr>
        <w:t xml:space="preserve">(CAD) software integrated with digital chest X-ray offers enhanced screening </w:t>
      </w:r>
    </w:p>
    <w:p w14:paraId="288C040C">
      <w:pPr>
        <w:pStyle w:val="2"/>
        <w:rPr>
          <w:rFonts w:hint="eastAsia"/>
        </w:rPr>
      </w:pPr>
      <w:r>
        <w:rPr>
          <w:rFonts w:hint="eastAsia"/>
        </w:rPr>
        <w:t xml:space="preserve">capacity, but its success depends on feasibility and acceptability within local </w:t>
      </w:r>
    </w:p>
    <w:p w14:paraId="174CB649">
      <w:pPr>
        <w:pStyle w:val="2"/>
        <w:rPr>
          <w:rFonts w:hint="eastAsia"/>
        </w:rPr>
      </w:pPr>
      <w:r>
        <w:rPr>
          <w:rFonts w:hint="eastAsia"/>
        </w:rPr>
        <w:t xml:space="preserve">health systems. This qualitative study explored perceptions and experiences of </w:t>
      </w:r>
    </w:p>
    <w:p w14:paraId="0D85AB81">
      <w:pPr>
        <w:pStyle w:val="2"/>
        <w:rPr>
          <w:rFonts w:hint="eastAsia"/>
        </w:rPr>
      </w:pPr>
      <w:r>
        <w:rPr>
          <w:rFonts w:hint="eastAsia"/>
        </w:rPr>
        <w:t xml:space="preserve">CAD integration during a Médecins Sans Frontières community-based TB active case </w:t>
      </w:r>
    </w:p>
    <w:p w14:paraId="39F3142A">
      <w:pPr>
        <w:pStyle w:val="2"/>
        <w:rPr>
          <w:rFonts w:hint="eastAsia"/>
        </w:rPr>
      </w:pPr>
      <w:r>
        <w:rPr>
          <w:rFonts w:hint="eastAsia"/>
        </w:rPr>
        <w:t xml:space="preserve">finding campaign (ACF) in Tondo, Manila. In-depth interviews, focus group </w:t>
      </w:r>
    </w:p>
    <w:p w14:paraId="72A29734">
      <w:pPr>
        <w:pStyle w:val="2"/>
        <w:rPr>
          <w:rFonts w:hint="eastAsia"/>
        </w:rPr>
      </w:pPr>
      <w:r>
        <w:rPr>
          <w:rFonts w:hint="eastAsia"/>
        </w:rPr>
        <w:t xml:space="preserve">discussions, and direct observations were conducted with MSF staff, health </w:t>
      </w:r>
    </w:p>
    <w:p w14:paraId="28CBBAA9">
      <w:pPr>
        <w:pStyle w:val="2"/>
        <w:rPr>
          <w:rFonts w:hint="eastAsia"/>
        </w:rPr>
      </w:pPr>
      <w:r>
        <w:rPr>
          <w:rFonts w:hint="eastAsia"/>
        </w:rPr>
        <w:t xml:space="preserve">center physicians, TB program personnel, ACF participants, and community leaders </w:t>
      </w:r>
    </w:p>
    <w:p w14:paraId="2AE90B2D">
      <w:pPr>
        <w:pStyle w:val="2"/>
        <w:rPr>
          <w:rFonts w:hint="eastAsia"/>
        </w:rPr>
      </w:pPr>
      <w:r>
        <w:rPr>
          <w:rFonts w:hint="eastAsia"/>
        </w:rPr>
        <w:t xml:space="preserve">between January and April 2023. Thematic analysis identified four main themes: </w:t>
      </w:r>
    </w:p>
    <w:p w14:paraId="37E83E87">
      <w:pPr>
        <w:pStyle w:val="2"/>
        <w:rPr>
          <w:rFonts w:hint="eastAsia"/>
        </w:rPr>
      </w:pPr>
      <w:r>
        <w:rPr>
          <w:rFonts w:hint="eastAsia"/>
        </w:rPr>
        <w:t xml:space="preserve">(1) Operational functionality and efficiency: Staff reported CAD increased </w:t>
      </w:r>
    </w:p>
    <w:p w14:paraId="4FCEBFD0">
      <w:pPr>
        <w:pStyle w:val="2"/>
        <w:rPr>
          <w:rFonts w:hint="eastAsia"/>
        </w:rPr>
      </w:pPr>
      <w:r>
        <w:rPr>
          <w:rFonts w:hint="eastAsia"/>
        </w:rPr>
        <w:t xml:space="preserve">screening capacity, supported clinical decision-making, and streamlined </w:t>
      </w:r>
    </w:p>
    <w:p w14:paraId="63CAC89F">
      <w:pPr>
        <w:pStyle w:val="2"/>
        <w:rPr>
          <w:rFonts w:hint="eastAsia"/>
        </w:rPr>
      </w:pPr>
      <w:r>
        <w:rPr>
          <w:rFonts w:hint="eastAsia"/>
        </w:rPr>
        <w:t xml:space="preserve">workloads; ACF participants reported a convenient process. (2) Human resources </w:t>
      </w:r>
    </w:p>
    <w:p w14:paraId="622110E0">
      <w:pPr>
        <w:pStyle w:val="2"/>
        <w:rPr>
          <w:rFonts w:hint="eastAsia"/>
        </w:rPr>
      </w:pPr>
      <w:r>
        <w:rPr>
          <w:rFonts w:hint="eastAsia"/>
        </w:rPr>
        <w:t xml:space="preserve">and role adaptation: Staff perceived role redistribution as initially </w:t>
      </w:r>
    </w:p>
    <w:p w14:paraId="68C9DCE9">
      <w:pPr>
        <w:pStyle w:val="2"/>
        <w:rPr>
          <w:rFonts w:hint="eastAsia"/>
        </w:rPr>
      </w:pPr>
      <w:r>
        <w:rPr>
          <w:rFonts w:hint="eastAsia"/>
        </w:rPr>
        <w:t xml:space="preserve">challenging, highlighting the need for adequate capacity building and technical </w:t>
      </w:r>
    </w:p>
    <w:p w14:paraId="748FC27D">
      <w:pPr>
        <w:pStyle w:val="2"/>
        <w:rPr>
          <w:rFonts w:hint="eastAsia"/>
        </w:rPr>
      </w:pPr>
      <w:r>
        <w:rPr>
          <w:rFonts w:hint="eastAsia"/>
        </w:rPr>
        <w:t xml:space="preserve">support; (3) Technical feasibility and system design: project managers and staff </w:t>
      </w:r>
    </w:p>
    <w:p w14:paraId="731EBFA3">
      <w:pPr>
        <w:pStyle w:val="2"/>
        <w:rPr>
          <w:rFonts w:hint="eastAsia"/>
        </w:rPr>
      </w:pPr>
      <w:r>
        <w:rPr>
          <w:rFonts w:hint="eastAsia"/>
        </w:rPr>
        <w:t xml:space="preserve">emphasized understanding CAD's capabilities and limitations to plan </w:t>
      </w:r>
    </w:p>
    <w:p w14:paraId="59A20761">
      <w:pPr>
        <w:pStyle w:val="2"/>
        <w:rPr>
          <w:rFonts w:hint="eastAsia"/>
        </w:rPr>
      </w:pPr>
      <w:r>
        <w:rPr>
          <w:rFonts w:hint="eastAsia"/>
        </w:rPr>
        <w:t xml:space="preserve">infrastructure, set thresholds, and compensate for inherent limitations. (4) </w:t>
      </w:r>
    </w:p>
    <w:p w14:paraId="3933220F">
      <w:pPr>
        <w:pStyle w:val="2"/>
        <w:rPr>
          <w:rFonts w:hint="eastAsia"/>
        </w:rPr>
      </w:pPr>
      <w:r>
        <w:rPr>
          <w:rFonts w:hint="eastAsia"/>
        </w:rPr>
        <w:t xml:space="preserve">Community acceptability and ethical considerations: community participants </w:t>
      </w:r>
    </w:p>
    <w:p w14:paraId="4BD24E76">
      <w:pPr>
        <w:pStyle w:val="2"/>
        <w:rPr>
          <w:rFonts w:hint="eastAsia"/>
        </w:rPr>
      </w:pPr>
      <w:r>
        <w:rPr>
          <w:rFonts w:hint="eastAsia"/>
        </w:rPr>
        <w:t xml:space="preserve">expressed mixed views on the reliability of novel "high-tech" tools and stressed </w:t>
      </w:r>
    </w:p>
    <w:p w14:paraId="3E9E5BDB">
      <w:pPr>
        <w:pStyle w:val="2"/>
        <w:rPr>
          <w:rFonts w:hint="eastAsia"/>
        </w:rPr>
      </w:pPr>
      <w:r>
        <w:rPr>
          <w:rFonts w:hint="eastAsia"/>
        </w:rPr>
        <w:t xml:space="preserve">the importance of aligning with local healthcare needs. This study demonstrates </w:t>
      </w:r>
    </w:p>
    <w:p w14:paraId="10456D96">
      <w:pPr>
        <w:pStyle w:val="2"/>
        <w:rPr>
          <w:rFonts w:hint="eastAsia"/>
        </w:rPr>
      </w:pPr>
      <w:r>
        <w:rPr>
          <w:rFonts w:hint="eastAsia"/>
        </w:rPr>
        <w:t xml:space="preserve">that implementing CAD in TB ACF is both feasible and acceptable when supported </w:t>
      </w:r>
    </w:p>
    <w:p w14:paraId="5156EABD">
      <w:pPr>
        <w:pStyle w:val="2"/>
        <w:rPr>
          <w:rFonts w:hint="eastAsia"/>
        </w:rPr>
      </w:pPr>
      <w:r>
        <w:rPr>
          <w:rFonts w:hint="eastAsia"/>
        </w:rPr>
        <w:t xml:space="preserve">by careful planning and adaptation to local contexts. Sustainable implementation </w:t>
      </w:r>
    </w:p>
    <w:p w14:paraId="7C736D5F">
      <w:pPr>
        <w:pStyle w:val="2"/>
        <w:rPr>
          <w:rFonts w:hint="eastAsia"/>
        </w:rPr>
      </w:pPr>
      <w:r>
        <w:rPr>
          <w:rFonts w:hint="eastAsia"/>
        </w:rPr>
        <w:t xml:space="preserve">hinges on technical support and the meaningful involvement of healthcare workers </w:t>
      </w:r>
    </w:p>
    <w:p w14:paraId="7B8F993A">
      <w:pPr>
        <w:pStyle w:val="2"/>
        <w:rPr>
          <w:rFonts w:hint="eastAsia"/>
        </w:rPr>
      </w:pPr>
      <w:r>
        <w:rPr>
          <w:rFonts w:hint="eastAsia"/>
        </w:rPr>
        <w:t xml:space="preserve">and communities, whose insights help ensure ethical and effective digital health </w:t>
      </w:r>
    </w:p>
    <w:p w14:paraId="120D1ABD">
      <w:pPr>
        <w:pStyle w:val="2"/>
        <w:rPr>
          <w:rFonts w:hint="eastAsia"/>
        </w:rPr>
      </w:pPr>
      <w:r>
        <w:rPr>
          <w:rFonts w:hint="eastAsia"/>
        </w:rPr>
        <w:t xml:space="preserve">innovation. The experience in Tondo offers lessons on deploying CAD in </w:t>
      </w:r>
    </w:p>
    <w:p w14:paraId="1573C461">
      <w:pPr>
        <w:pStyle w:val="2"/>
        <w:rPr>
          <w:rFonts w:hint="eastAsia"/>
        </w:rPr>
      </w:pPr>
      <w:r>
        <w:rPr>
          <w:rFonts w:hint="eastAsia"/>
        </w:rPr>
        <w:t>high-burden, resource-constrained settings.</w:t>
      </w:r>
    </w:p>
    <w:p w14:paraId="7091F487">
      <w:pPr>
        <w:pStyle w:val="2"/>
        <w:rPr>
          <w:rFonts w:hint="eastAsia"/>
        </w:rPr>
      </w:pPr>
    </w:p>
    <w:p w14:paraId="3FD15E1C">
      <w:pPr>
        <w:pStyle w:val="2"/>
        <w:rPr>
          <w:rFonts w:hint="eastAsia"/>
        </w:rPr>
      </w:pPr>
      <w:r>
        <w:rPr>
          <w:rFonts w:hint="eastAsia"/>
        </w:rPr>
        <w:t xml:space="preserve">Copyright: © 2026 Yonally Phillips et al. This is an open access article </w:t>
      </w:r>
    </w:p>
    <w:p w14:paraId="1214784B">
      <w:pPr>
        <w:pStyle w:val="2"/>
        <w:rPr>
          <w:rFonts w:hint="eastAsia"/>
        </w:rPr>
      </w:pPr>
      <w:r>
        <w:rPr>
          <w:rFonts w:hint="eastAsia"/>
        </w:rPr>
        <w:t xml:space="preserve">distributed under the terms of the Creative Commons Attribution License, which </w:t>
      </w:r>
    </w:p>
    <w:p w14:paraId="0CB3412B">
      <w:pPr>
        <w:pStyle w:val="2"/>
        <w:rPr>
          <w:rFonts w:hint="eastAsia"/>
        </w:rPr>
      </w:pPr>
      <w:r>
        <w:rPr>
          <w:rFonts w:hint="eastAsia"/>
        </w:rPr>
        <w:t xml:space="preserve">permits unrestricted use, distribution, and reproduction in any medium, provided </w:t>
      </w:r>
    </w:p>
    <w:p w14:paraId="0F650DFD">
      <w:pPr>
        <w:pStyle w:val="2"/>
        <w:rPr>
          <w:rFonts w:hint="eastAsia"/>
        </w:rPr>
      </w:pPr>
      <w:r>
        <w:rPr>
          <w:rFonts w:hint="eastAsia"/>
        </w:rPr>
        <w:t>the original author and source are credited.</w:t>
      </w:r>
    </w:p>
    <w:p w14:paraId="42FE7391">
      <w:pPr>
        <w:pStyle w:val="2"/>
        <w:rPr>
          <w:rFonts w:hint="eastAsia"/>
        </w:rPr>
      </w:pPr>
    </w:p>
    <w:p w14:paraId="576810FD">
      <w:pPr>
        <w:pStyle w:val="2"/>
        <w:rPr>
          <w:rFonts w:hint="eastAsia"/>
        </w:rPr>
      </w:pPr>
      <w:r>
        <w:rPr>
          <w:rFonts w:hint="eastAsia"/>
        </w:rPr>
        <w:t>DOI: 10.1371/journal.pgph.0007429</w:t>
      </w:r>
    </w:p>
    <w:p w14:paraId="425CF0AE">
      <w:pPr>
        <w:pStyle w:val="2"/>
        <w:rPr>
          <w:rFonts w:hint="eastAsia"/>
        </w:rPr>
      </w:pPr>
      <w:r>
        <w:rPr>
          <w:rFonts w:hint="eastAsia"/>
        </w:rPr>
        <w:t>PMCID: PMC13649030</w:t>
      </w:r>
    </w:p>
    <w:p w14:paraId="2938A9DB">
      <w:pPr>
        <w:pStyle w:val="2"/>
        <w:rPr>
          <w:rFonts w:hint="eastAsia"/>
        </w:rPr>
      </w:pPr>
      <w:r>
        <w:rPr>
          <w:rFonts w:hint="eastAsia"/>
        </w:rPr>
        <w:t>PMID: 42848772</w:t>
      </w:r>
    </w:p>
    <w:p w14:paraId="6A96B1F4">
      <w:pPr>
        <w:pStyle w:val="2"/>
        <w:rPr>
          <w:rFonts w:hint="eastAsia"/>
        </w:rPr>
      </w:pPr>
    </w:p>
    <w:p w14:paraId="07C8D1B0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27</w:t>
      </w:r>
      <w:r>
        <w:rPr>
          <w:rFonts w:hint="eastAsia"/>
          <w:b/>
          <w:bCs/>
          <w:color w:val="FF0000"/>
        </w:rPr>
        <w:t xml:space="preserve">. Rev Gaucha Enferm. 2026 Oct 5;47:e20250225. doi: </w:t>
      </w:r>
    </w:p>
    <w:p w14:paraId="6B2C0930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10.1590/1983-1447.2026.20250225.en. eCollection 2026.</w:t>
      </w:r>
    </w:p>
    <w:p w14:paraId="5FD45F84">
      <w:pPr>
        <w:pStyle w:val="2"/>
        <w:rPr>
          <w:rFonts w:hint="eastAsia"/>
        </w:rPr>
      </w:pPr>
    </w:p>
    <w:p w14:paraId="162B25B8">
      <w:pPr>
        <w:pStyle w:val="2"/>
        <w:rPr>
          <w:rFonts w:hint="eastAsia"/>
        </w:rPr>
      </w:pPr>
      <w:r>
        <w:rPr>
          <w:rFonts w:hint="eastAsia"/>
        </w:rPr>
        <w:t xml:space="preserve">Tuberculosis case profile by sex and context of the Covid-19 pandemic: São </w:t>
      </w:r>
    </w:p>
    <w:p w14:paraId="2F590EE7">
      <w:pPr>
        <w:pStyle w:val="2"/>
        <w:rPr>
          <w:rFonts w:hint="eastAsia"/>
        </w:rPr>
      </w:pPr>
      <w:r>
        <w:rPr>
          <w:rFonts w:hint="eastAsia"/>
        </w:rPr>
        <w:t>Paulo, Brazil.</w:t>
      </w:r>
    </w:p>
    <w:p w14:paraId="0E899A63">
      <w:pPr>
        <w:pStyle w:val="2"/>
        <w:rPr>
          <w:rFonts w:hint="eastAsia"/>
        </w:rPr>
      </w:pPr>
    </w:p>
    <w:p w14:paraId="3A5B32F9">
      <w:pPr>
        <w:pStyle w:val="2"/>
        <w:rPr>
          <w:rFonts w:hint="eastAsia"/>
        </w:rPr>
      </w:pPr>
      <w:r>
        <w:rPr>
          <w:rFonts w:hint="eastAsia"/>
        </w:rPr>
        <w:t>[Article in English, Portuguese]</w:t>
      </w:r>
    </w:p>
    <w:p w14:paraId="36BB9803">
      <w:pPr>
        <w:pStyle w:val="2"/>
        <w:rPr>
          <w:rFonts w:hint="eastAsia"/>
        </w:rPr>
      </w:pPr>
    </w:p>
    <w:p w14:paraId="6DD02E70">
      <w:pPr>
        <w:pStyle w:val="2"/>
        <w:rPr>
          <w:rFonts w:hint="eastAsia"/>
        </w:rPr>
      </w:pPr>
      <w:r>
        <w:rPr>
          <w:rFonts w:hint="eastAsia"/>
        </w:rPr>
        <w:t xml:space="preserve">Faria MGBF(1), Gomes D(2), Andrade-Gonçalves RLP(1), Maurin VP(1), Bonfim RO(1), </w:t>
      </w:r>
    </w:p>
    <w:p w14:paraId="14311743">
      <w:pPr>
        <w:pStyle w:val="2"/>
        <w:rPr>
          <w:rFonts w:hint="eastAsia"/>
        </w:rPr>
      </w:pPr>
      <w:r>
        <w:rPr>
          <w:rFonts w:hint="eastAsia"/>
        </w:rPr>
        <w:t>Braga RS(1), Arcêncio RA(1), Monroe AA(1).</w:t>
      </w:r>
    </w:p>
    <w:p w14:paraId="3A93CC4A">
      <w:pPr>
        <w:pStyle w:val="2"/>
        <w:rPr>
          <w:rFonts w:hint="eastAsia"/>
        </w:rPr>
      </w:pPr>
    </w:p>
    <w:p w14:paraId="5D2844D5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62B58528">
      <w:pPr>
        <w:pStyle w:val="2"/>
        <w:rPr>
          <w:rFonts w:hint="eastAsia"/>
        </w:rPr>
      </w:pPr>
      <w:r>
        <w:rPr>
          <w:rFonts w:hint="eastAsia"/>
        </w:rPr>
        <w:t xml:space="preserve">(1)Universidade de São Paulo, Escola de Enfermagem de Ribeirão Preto, </w:t>
      </w:r>
    </w:p>
    <w:p w14:paraId="30B61D87">
      <w:pPr>
        <w:pStyle w:val="2"/>
        <w:rPr>
          <w:rFonts w:hint="eastAsia"/>
        </w:rPr>
      </w:pPr>
      <w:r>
        <w:rPr>
          <w:rFonts w:hint="eastAsia"/>
        </w:rPr>
        <w:t xml:space="preserve">Departamento Materno Infantil e Saúde Pública, Ribeirão Preto, São Paulo- </w:t>
      </w:r>
    </w:p>
    <w:p w14:paraId="588F3C8C">
      <w:pPr>
        <w:pStyle w:val="2"/>
        <w:rPr>
          <w:rFonts w:hint="eastAsia"/>
        </w:rPr>
      </w:pPr>
      <w:r>
        <w:rPr>
          <w:rFonts w:hint="eastAsia"/>
        </w:rPr>
        <w:t>Brasil.</w:t>
      </w:r>
    </w:p>
    <w:p w14:paraId="6F6FB1DE">
      <w:pPr>
        <w:pStyle w:val="2"/>
        <w:rPr>
          <w:rFonts w:hint="eastAsia"/>
        </w:rPr>
      </w:pPr>
      <w:r>
        <w:rPr>
          <w:rFonts w:hint="eastAsia"/>
        </w:rPr>
        <w:t>(2)Universidade de Évora, Escola de Ciências e Tecnologia, Évora-Portugal.</w:t>
      </w:r>
    </w:p>
    <w:p w14:paraId="412FBBC8">
      <w:pPr>
        <w:pStyle w:val="2"/>
        <w:rPr>
          <w:rFonts w:hint="eastAsia"/>
        </w:rPr>
      </w:pPr>
    </w:p>
    <w:p w14:paraId="7A0B6A50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OBJECTIVE: </w:t>
      </w:r>
      <w:r>
        <w:rPr>
          <w:rFonts w:hint="eastAsia"/>
        </w:rPr>
        <w:t xml:space="preserve">to analyze the profile of pulmonary tuberculosis cases, considering </w:t>
      </w:r>
    </w:p>
    <w:p w14:paraId="7EBD621C">
      <w:pPr>
        <w:pStyle w:val="2"/>
        <w:rPr>
          <w:rFonts w:hint="eastAsia"/>
        </w:rPr>
      </w:pPr>
      <w:r>
        <w:rPr>
          <w:rFonts w:hint="eastAsia"/>
        </w:rPr>
        <w:t>sex and context of the Covid-19 pandemic.</w:t>
      </w:r>
    </w:p>
    <w:p w14:paraId="41F44658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METHOD: </w:t>
      </w:r>
      <w:r>
        <w:rPr>
          <w:rFonts w:hint="eastAsia"/>
        </w:rPr>
        <w:t xml:space="preserve">a cross-sectional study, covering new tuberculosis cases in the state of </w:t>
      </w:r>
    </w:p>
    <w:p w14:paraId="75D1BE52">
      <w:pPr>
        <w:pStyle w:val="2"/>
        <w:rPr>
          <w:rFonts w:hint="eastAsia"/>
        </w:rPr>
      </w:pPr>
      <w:r>
        <w:rPr>
          <w:rFonts w:hint="eastAsia"/>
        </w:rPr>
        <w:t xml:space="preserve">São Paulo diagnosed between 2014 and 2024. Data were collected from secondary </w:t>
      </w:r>
    </w:p>
    <w:p w14:paraId="30BDF2C1">
      <w:pPr>
        <w:pStyle w:val="2"/>
        <w:rPr>
          <w:rFonts w:hint="eastAsia"/>
        </w:rPr>
      </w:pPr>
      <w:r>
        <w:rPr>
          <w:rFonts w:hint="eastAsia"/>
        </w:rPr>
        <w:t xml:space="preserve">sources and subjected to absolute and relative frequency analysis. No </w:t>
      </w:r>
    </w:p>
    <w:p w14:paraId="0E65460D">
      <w:pPr>
        <w:pStyle w:val="2"/>
        <w:rPr>
          <w:rFonts w:hint="eastAsia"/>
        </w:rPr>
      </w:pPr>
      <w:r>
        <w:rPr>
          <w:rFonts w:hint="eastAsia"/>
        </w:rPr>
        <w:t>statistical tests were performed as it involved the entire population.</w:t>
      </w:r>
    </w:p>
    <w:p w14:paraId="6B132639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among 147,438 cases, 74% were male. A higher prevalence of diabetes </w:t>
      </w:r>
    </w:p>
    <w:p w14:paraId="75222E71">
      <w:pPr>
        <w:pStyle w:val="2"/>
        <w:rPr>
          <w:rFonts w:hint="eastAsia"/>
        </w:rPr>
      </w:pPr>
      <w:r>
        <w:rPr>
          <w:rFonts w:hint="eastAsia"/>
        </w:rPr>
        <w:t xml:space="preserve">mellitus was observed in females, while in males there was a higher proportion </w:t>
      </w:r>
    </w:p>
    <w:p w14:paraId="5FC1F86C">
      <w:pPr>
        <w:pStyle w:val="2"/>
        <w:rPr>
          <w:rFonts w:hint="eastAsia"/>
        </w:rPr>
      </w:pPr>
      <w:r>
        <w:rPr>
          <w:rFonts w:hint="eastAsia"/>
        </w:rPr>
        <w:t xml:space="preserve">of persons deprived of liberty; use of psychoactive substances; greater access </w:t>
      </w:r>
    </w:p>
    <w:p w14:paraId="234ADCD9">
      <w:pPr>
        <w:pStyle w:val="2"/>
        <w:rPr>
          <w:rFonts w:hint="eastAsia"/>
        </w:rPr>
      </w:pPr>
      <w:r>
        <w:rPr>
          <w:rFonts w:hint="eastAsia"/>
        </w:rPr>
        <w:t xml:space="preserve">to exams and diagnostic confirmation. After the pandemic period, there was a </w:t>
      </w:r>
    </w:p>
    <w:p w14:paraId="4DB6F83D">
      <w:pPr>
        <w:pStyle w:val="2"/>
        <w:rPr>
          <w:rFonts w:hint="eastAsia"/>
        </w:rPr>
      </w:pPr>
      <w:r>
        <w:rPr>
          <w:rFonts w:hint="eastAsia"/>
        </w:rPr>
        <w:t xml:space="preserve">reduction in people between 18 and 30 years old and those in deprivation of </w:t>
      </w:r>
    </w:p>
    <w:p w14:paraId="72B27915">
      <w:pPr>
        <w:pStyle w:val="2"/>
        <w:rPr>
          <w:rFonts w:hint="eastAsia"/>
        </w:rPr>
      </w:pPr>
      <w:r>
        <w:rPr>
          <w:rFonts w:hint="eastAsia"/>
        </w:rPr>
        <w:t xml:space="preserve">liberty, and an increase in those between 31 and 40 years old and the </w:t>
      </w:r>
    </w:p>
    <w:p w14:paraId="7B45F213">
      <w:pPr>
        <w:pStyle w:val="2"/>
        <w:rPr>
          <w:rFonts w:hint="eastAsia"/>
        </w:rPr>
      </w:pPr>
      <w:r>
        <w:rPr>
          <w:rFonts w:hint="eastAsia"/>
        </w:rPr>
        <w:t>performance of molecular rapid tests.</w:t>
      </w:r>
    </w:p>
    <w:p w14:paraId="048FEF61">
      <w:pPr>
        <w:pStyle w:val="2"/>
        <w:rPr>
          <w:rFonts w:hint="eastAsia"/>
        </w:rPr>
      </w:pPr>
      <w:r>
        <w:rPr>
          <w:rFonts w:hint="eastAsia"/>
          <w:b/>
          <w:bCs/>
        </w:rPr>
        <w:t>CONCLUSION:</w:t>
      </w:r>
      <w:r>
        <w:rPr>
          <w:rFonts w:hint="eastAsia"/>
        </w:rPr>
        <w:t xml:space="preserve"> the persistence of vulnerabilities associated with the male gender </w:t>
      </w:r>
    </w:p>
    <w:p w14:paraId="5FEA66DE">
      <w:pPr>
        <w:pStyle w:val="2"/>
        <w:rPr>
          <w:rFonts w:hint="eastAsia"/>
        </w:rPr>
      </w:pPr>
      <w:r>
        <w:rPr>
          <w:rFonts w:hint="eastAsia"/>
        </w:rPr>
        <w:t xml:space="preserve">and a higher prevalence of diabetes mellitus among women were verified, as well </w:t>
      </w:r>
    </w:p>
    <w:p w14:paraId="54354AF0">
      <w:pPr>
        <w:pStyle w:val="2"/>
        <w:rPr>
          <w:rFonts w:hint="eastAsia"/>
        </w:rPr>
      </w:pPr>
      <w:r>
        <w:rPr>
          <w:rFonts w:hint="eastAsia"/>
        </w:rPr>
        <w:t xml:space="preserve">as changes in the profile of reported cases and the expansion of molecular rapid </w:t>
      </w:r>
    </w:p>
    <w:p w14:paraId="571D97A7">
      <w:pPr>
        <w:pStyle w:val="2"/>
        <w:rPr>
          <w:rFonts w:hint="eastAsia"/>
        </w:rPr>
      </w:pPr>
      <w:r>
        <w:rPr>
          <w:rFonts w:hint="eastAsia"/>
        </w:rPr>
        <w:t xml:space="preserve">testing due to the pandemic, reinforcing the importance of surveillance and care </w:t>
      </w:r>
    </w:p>
    <w:p w14:paraId="3DD120A6">
      <w:pPr>
        <w:pStyle w:val="2"/>
        <w:rPr>
          <w:rFonts w:hint="eastAsia"/>
        </w:rPr>
      </w:pPr>
      <w:r>
        <w:rPr>
          <w:rFonts w:hint="eastAsia"/>
        </w:rPr>
        <w:t xml:space="preserve">strategies sensitive to gender, age group, and conditions of vulnerability, </w:t>
      </w:r>
    </w:p>
    <w:p w14:paraId="1BCC636D">
      <w:pPr>
        <w:pStyle w:val="2"/>
        <w:rPr>
          <w:rFonts w:hint="eastAsia"/>
        </w:rPr>
      </w:pPr>
      <w:r>
        <w:rPr>
          <w:rFonts w:hint="eastAsia"/>
        </w:rPr>
        <w:t>seeking to improve the response to tuberculosis.</w:t>
      </w:r>
    </w:p>
    <w:p w14:paraId="2EB0B8F5">
      <w:pPr>
        <w:pStyle w:val="2"/>
        <w:rPr>
          <w:rFonts w:hint="eastAsia"/>
        </w:rPr>
      </w:pPr>
    </w:p>
    <w:p w14:paraId="5C1FEBBA">
      <w:pPr>
        <w:pStyle w:val="2"/>
        <w:rPr>
          <w:rFonts w:hint="eastAsia"/>
        </w:rPr>
      </w:pPr>
      <w:r>
        <w:rPr>
          <w:rFonts w:hint="eastAsia"/>
        </w:rPr>
        <w:t>DOI: 10.1590/1983-1447.2026.20250225.en</w:t>
      </w:r>
    </w:p>
    <w:p w14:paraId="03003268">
      <w:pPr>
        <w:pStyle w:val="2"/>
        <w:rPr>
          <w:rFonts w:hint="eastAsia"/>
        </w:rPr>
      </w:pPr>
      <w:r>
        <w:rPr>
          <w:rFonts w:hint="eastAsia"/>
        </w:rPr>
        <w:t>PMID: 42848657 [Indexed for MEDLINE]</w:t>
      </w:r>
    </w:p>
    <w:p w14:paraId="55F3C888">
      <w:pPr>
        <w:pStyle w:val="2"/>
        <w:rPr>
          <w:rFonts w:hint="eastAsia"/>
        </w:rPr>
      </w:pPr>
    </w:p>
    <w:p w14:paraId="3C62795E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28</w:t>
      </w:r>
      <w:r>
        <w:rPr>
          <w:rFonts w:hint="eastAsia"/>
          <w:b/>
          <w:bCs/>
          <w:color w:val="FF0000"/>
        </w:rPr>
        <w:t>. Pulmonology. 2026 Dec;32(1):2739160. doi: 10.1080/25310429.2026.2739160. Epub 2026 Oct 8.</w:t>
      </w:r>
    </w:p>
    <w:p w14:paraId="5C4C8FCB">
      <w:pPr>
        <w:pStyle w:val="2"/>
        <w:rPr>
          <w:rFonts w:hint="eastAsia"/>
        </w:rPr>
      </w:pPr>
    </w:p>
    <w:p w14:paraId="33D06FBC">
      <w:pPr>
        <w:pStyle w:val="2"/>
        <w:rPr>
          <w:rFonts w:hint="eastAsia"/>
        </w:rPr>
      </w:pPr>
      <w:r>
        <w:rPr>
          <w:rFonts w:hint="eastAsia"/>
        </w:rPr>
        <w:t xml:space="preserve">Letter to editor 'Cost comparison of UniAMP with Truenat for tuberculosis </w:t>
      </w:r>
    </w:p>
    <w:p w14:paraId="545B704C">
      <w:pPr>
        <w:pStyle w:val="2"/>
        <w:rPr>
          <w:rFonts w:hint="eastAsia"/>
        </w:rPr>
      </w:pPr>
      <w:r>
        <w:rPr>
          <w:rFonts w:hint="eastAsia"/>
        </w:rPr>
        <w:t>detection in India'.</w:t>
      </w:r>
    </w:p>
    <w:p w14:paraId="5DD3C368">
      <w:pPr>
        <w:pStyle w:val="2"/>
        <w:rPr>
          <w:rFonts w:hint="eastAsia"/>
        </w:rPr>
      </w:pPr>
    </w:p>
    <w:p w14:paraId="5A8EC98D">
      <w:pPr>
        <w:pStyle w:val="2"/>
        <w:rPr>
          <w:rFonts w:hint="eastAsia"/>
        </w:rPr>
      </w:pPr>
      <w:r>
        <w:rPr>
          <w:rFonts w:hint="eastAsia"/>
        </w:rPr>
        <w:t>Shikha D(1), Neupane A(1), Sharma S(2).</w:t>
      </w:r>
    </w:p>
    <w:p w14:paraId="36978835">
      <w:pPr>
        <w:pStyle w:val="2"/>
        <w:rPr>
          <w:rFonts w:hint="eastAsia"/>
        </w:rPr>
      </w:pPr>
    </w:p>
    <w:p w14:paraId="6E8CF01B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28E51536">
      <w:pPr>
        <w:pStyle w:val="2"/>
        <w:rPr>
          <w:rFonts w:hint="eastAsia"/>
        </w:rPr>
      </w:pPr>
      <w:r>
        <w:rPr>
          <w:rFonts w:hint="eastAsia"/>
        </w:rPr>
        <w:t xml:space="preserve">(1)Maharishi Markandeshwar Institute of Physiotherapy and Rehabilitation, </w:t>
      </w:r>
    </w:p>
    <w:p w14:paraId="6E52F2FE">
      <w:pPr>
        <w:pStyle w:val="2"/>
        <w:rPr>
          <w:rFonts w:hint="eastAsia"/>
        </w:rPr>
      </w:pPr>
      <w:r>
        <w:rPr>
          <w:rFonts w:hint="eastAsia"/>
        </w:rPr>
        <w:t>Maharishi Markandeshwar (Deemed to Be University), Mullana, India.</w:t>
      </w:r>
    </w:p>
    <w:p w14:paraId="0FA3C82B">
      <w:pPr>
        <w:pStyle w:val="2"/>
        <w:rPr>
          <w:rFonts w:hint="eastAsia"/>
        </w:rPr>
      </w:pPr>
      <w:r>
        <w:rPr>
          <w:rFonts w:hint="eastAsia"/>
        </w:rPr>
        <w:t xml:space="preserve">(2)Maharishi Markandeshwar Institute of Physiotherapy and Rehabilitation, </w:t>
      </w:r>
    </w:p>
    <w:p w14:paraId="1B40A00A">
      <w:pPr>
        <w:pStyle w:val="2"/>
        <w:rPr>
          <w:rFonts w:hint="eastAsia"/>
        </w:rPr>
      </w:pPr>
      <w:r>
        <w:rPr>
          <w:rFonts w:hint="eastAsia"/>
        </w:rPr>
        <w:t>Maharishi Markandeshwar University (Deemed to Be University), Mullana, India.</w:t>
      </w:r>
    </w:p>
    <w:p w14:paraId="69B39444">
      <w:pPr>
        <w:pStyle w:val="2"/>
        <w:rPr>
          <w:rFonts w:hint="eastAsia"/>
        </w:rPr>
      </w:pPr>
    </w:p>
    <w:p w14:paraId="32270F35">
      <w:pPr>
        <w:pStyle w:val="2"/>
        <w:rPr>
          <w:rFonts w:hint="eastAsia"/>
        </w:rPr>
      </w:pPr>
      <w:r>
        <w:rPr>
          <w:rFonts w:hint="eastAsia"/>
        </w:rPr>
        <w:t>DOI: 10.1080/25310429.2026.2739160</w:t>
      </w:r>
    </w:p>
    <w:p w14:paraId="04D1D47E">
      <w:pPr>
        <w:pStyle w:val="2"/>
        <w:rPr>
          <w:rFonts w:hint="eastAsia"/>
        </w:rPr>
      </w:pPr>
      <w:r>
        <w:rPr>
          <w:rFonts w:hint="eastAsia"/>
        </w:rPr>
        <w:t>PMID: 42848429</w:t>
      </w:r>
    </w:p>
    <w:p w14:paraId="4CB212EE">
      <w:pPr>
        <w:pStyle w:val="2"/>
        <w:rPr>
          <w:rFonts w:hint="eastAsia"/>
        </w:rPr>
      </w:pPr>
    </w:p>
    <w:p w14:paraId="221C6FD5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29</w:t>
      </w:r>
      <w:r>
        <w:rPr>
          <w:rFonts w:hint="eastAsia"/>
          <w:b/>
          <w:bCs/>
          <w:color w:val="FF0000"/>
        </w:rPr>
        <w:t>. Infection. 2026 Oct 8. doi: 10.1007/s15010-026-02977-7. Online ahead of print.</w:t>
      </w:r>
    </w:p>
    <w:p w14:paraId="282E9EF0">
      <w:pPr>
        <w:pStyle w:val="2"/>
        <w:rPr>
          <w:rFonts w:hint="eastAsia"/>
        </w:rPr>
      </w:pPr>
    </w:p>
    <w:p w14:paraId="04769232">
      <w:pPr>
        <w:pStyle w:val="2"/>
        <w:rPr>
          <w:rFonts w:hint="eastAsia"/>
        </w:rPr>
      </w:pPr>
      <w:r>
        <w:rPr>
          <w:rFonts w:hint="eastAsia"/>
        </w:rPr>
        <w:t xml:space="preserve">Role of ¹⁸F-FDG PET/CT in monitoring treatment response in extrapulmonary </w:t>
      </w:r>
    </w:p>
    <w:p w14:paraId="21711E39">
      <w:pPr>
        <w:pStyle w:val="2"/>
        <w:rPr>
          <w:rFonts w:hint="eastAsia"/>
        </w:rPr>
      </w:pPr>
      <w:r>
        <w:rPr>
          <w:rFonts w:hint="eastAsia"/>
        </w:rPr>
        <w:t>tuberculosis: a retrospective observational study.</w:t>
      </w:r>
    </w:p>
    <w:p w14:paraId="5D20741F">
      <w:pPr>
        <w:pStyle w:val="2"/>
        <w:rPr>
          <w:rFonts w:hint="eastAsia"/>
        </w:rPr>
      </w:pPr>
    </w:p>
    <w:p w14:paraId="5C0E6E2F">
      <w:pPr>
        <w:pStyle w:val="2"/>
        <w:rPr>
          <w:rFonts w:hint="eastAsia"/>
        </w:rPr>
      </w:pPr>
      <w:r>
        <w:rPr>
          <w:rFonts w:hint="eastAsia"/>
        </w:rPr>
        <w:t xml:space="preserve">Boán J(1)(2), Hernández-Solís M(3), Galiana Á(4), Hernández-Jiménez P(3), </w:t>
      </w:r>
    </w:p>
    <w:p w14:paraId="10CC9B8E">
      <w:pPr>
        <w:pStyle w:val="2"/>
        <w:rPr>
          <w:rFonts w:hint="eastAsia"/>
        </w:rPr>
      </w:pPr>
      <w:r>
        <w:rPr>
          <w:rFonts w:hint="eastAsia"/>
        </w:rPr>
        <w:t>Gómez-Grande A(4), Aguado JM(1)(2), Pérez-Jacoiste Asín MA(5)(6).</w:t>
      </w:r>
    </w:p>
    <w:p w14:paraId="7365EE6C">
      <w:pPr>
        <w:pStyle w:val="2"/>
        <w:rPr>
          <w:rFonts w:hint="eastAsia"/>
        </w:rPr>
      </w:pPr>
    </w:p>
    <w:p w14:paraId="3BBA093C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4E161B1D">
      <w:pPr>
        <w:pStyle w:val="2"/>
        <w:rPr>
          <w:rFonts w:hint="eastAsia"/>
        </w:rPr>
      </w:pPr>
      <w:r>
        <w:rPr>
          <w:rFonts w:hint="eastAsia"/>
        </w:rPr>
        <w:t xml:space="preserve">(1)Unit of Infectious Diseases, 12 de Octubre University Hospital, Instituto de </w:t>
      </w:r>
    </w:p>
    <w:p w14:paraId="7E085833">
      <w:pPr>
        <w:pStyle w:val="2"/>
        <w:rPr>
          <w:rFonts w:hint="eastAsia"/>
        </w:rPr>
      </w:pPr>
      <w:r>
        <w:rPr>
          <w:rFonts w:hint="eastAsia"/>
        </w:rPr>
        <w:t xml:space="preserve">Investigación Hospital 12 de Octubre (imas12), Glorieta de Málaga, 11, Madrid, </w:t>
      </w:r>
    </w:p>
    <w:p w14:paraId="2210EF65">
      <w:pPr>
        <w:pStyle w:val="2"/>
        <w:rPr>
          <w:rFonts w:hint="eastAsia"/>
        </w:rPr>
      </w:pPr>
      <w:r>
        <w:rPr>
          <w:rFonts w:hint="eastAsia"/>
        </w:rPr>
        <w:t>Spain.</w:t>
      </w:r>
    </w:p>
    <w:p w14:paraId="43038874">
      <w:pPr>
        <w:pStyle w:val="2"/>
        <w:rPr>
          <w:rFonts w:hint="eastAsia"/>
        </w:rPr>
      </w:pPr>
      <w:r>
        <w:rPr>
          <w:rFonts w:hint="eastAsia"/>
        </w:rPr>
        <w:t xml:space="preserve">(2)Centro de Investigación Biomédica en Red de Enfermedades Infecciosas </w:t>
      </w:r>
    </w:p>
    <w:p w14:paraId="554CAB90">
      <w:pPr>
        <w:pStyle w:val="2"/>
        <w:rPr>
          <w:rFonts w:hint="eastAsia"/>
        </w:rPr>
      </w:pPr>
      <w:r>
        <w:rPr>
          <w:rFonts w:hint="eastAsia"/>
        </w:rPr>
        <w:t>(CIBERINFEC), Instituto de Salud Carlos III (ISCIII), Madrid, Spain.</w:t>
      </w:r>
    </w:p>
    <w:p w14:paraId="4FCEF405">
      <w:pPr>
        <w:pStyle w:val="2"/>
        <w:rPr>
          <w:rFonts w:hint="eastAsia"/>
        </w:rPr>
      </w:pPr>
      <w:r>
        <w:rPr>
          <w:rFonts w:hint="eastAsia"/>
        </w:rPr>
        <w:t xml:space="preserve">(3)Department of Internal Medicine, Hospital Universitario 12 de Octubre, </w:t>
      </w:r>
    </w:p>
    <w:p w14:paraId="2118DD3F">
      <w:pPr>
        <w:pStyle w:val="2"/>
        <w:rPr>
          <w:rFonts w:hint="eastAsia"/>
        </w:rPr>
      </w:pPr>
      <w:r>
        <w:rPr>
          <w:rFonts w:hint="eastAsia"/>
        </w:rPr>
        <w:t xml:space="preserve">Instituto de Investigación Sanitaria Hospital 12 de Octubre (imas12), Madrid, </w:t>
      </w:r>
    </w:p>
    <w:p w14:paraId="49C54E0C">
      <w:pPr>
        <w:pStyle w:val="2"/>
        <w:rPr>
          <w:rFonts w:hint="eastAsia"/>
        </w:rPr>
      </w:pPr>
      <w:r>
        <w:rPr>
          <w:rFonts w:hint="eastAsia"/>
        </w:rPr>
        <w:t>Spain.</w:t>
      </w:r>
    </w:p>
    <w:p w14:paraId="4FF2F5D5">
      <w:pPr>
        <w:pStyle w:val="2"/>
        <w:rPr>
          <w:rFonts w:hint="eastAsia"/>
        </w:rPr>
      </w:pPr>
      <w:r>
        <w:rPr>
          <w:rFonts w:hint="eastAsia"/>
        </w:rPr>
        <w:t xml:space="preserve">(4)Department of Nuclear Medicine, Hospital Universitario 12 de Octubre, </w:t>
      </w:r>
    </w:p>
    <w:p w14:paraId="627A704A">
      <w:pPr>
        <w:pStyle w:val="2"/>
        <w:rPr>
          <w:rFonts w:hint="eastAsia"/>
        </w:rPr>
      </w:pPr>
      <w:r>
        <w:rPr>
          <w:rFonts w:hint="eastAsia"/>
        </w:rPr>
        <w:t xml:space="preserve">Instituto de Investigación Sanitaria Hospital 12 de Octubre (imas12), Madrid, </w:t>
      </w:r>
    </w:p>
    <w:p w14:paraId="5482CFF5">
      <w:pPr>
        <w:pStyle w:val="2"/>
        <w:rPr>
          <w:rFonts w:hint="eastAsia"/>
        </w:rPr>
      </w:pPr>
      <w:r>
        <w:rPr>
          <w:rFonts w:hint="eastAsia"/>
        </w:rPr>
        <w:t>Spain.</w:t>
      </w:r>
    </w:p>
    <w:p w14:paraId="2F4DFEB4">
      <w:pPr>
        <w:pStyle w:val="2"/>
        <w:rPr>
          <w:rFonts w:hint="eastAsia"/>
        </w:rPr>
      </w:pPr>
      <w:r>
        <w:rPr>
          <w:rFonts w:hint="eastAsia"/>
        </w:rPr>
        <w:t xml:space="preserve">(5)Unit of Infectious Diseases, 12 de Octubre University Hospital, Instituto de </w:t>
      </w:r>
    </w:p>
    <w:p w14:paraId="60756D1D">
      <w:pPr>
        <w:pStyle w:val="2"/>
        <w:rPr>
          <w:rFonts w:hint="eastAsia"/>
        </w:rPr>
      </w:pPr>
      <w:r>
        <w:rPr>
          <w:rFonts w:hint="eastAsia"/>
        </w:rPr>
        <w:t xml:space="preserve">Investigación Hospital 12 de Octubre (imas12), Glorieta de Málaga, 11, Madrid, </w:t>
      </w:r>
    </w:p>
    <w:p w14:paraId="394CE9DE">
      <w:pPr>
        <w:pStyle w:val="2"/>
        <w:rPr>
          <w:rFonts w:hint="eastAsia"/>
        </w:rPr>
      </w:pPr>
      <w:r>
        <w:rPr>
          <w:rFonts w:hint="eastAsia"/>
        </w:rPr>
        <w:t>Spain. mperezja82@hotmail.com.</w:t>
      </w:r>
    </w:p>
    <w:p w14:paraId="090415C5">
      <w:pPr>
        <w:pStyle w:val="2"/>
        <w:rPr>
          <w:rFonts w:hint="eastAsia"/>
        </w:rPr>
      </w:pPr>
      <w:r>
        <w:rPr>
          <w:rFonts w:hint="eastAsia"/>
        </w:rPr>
        <w:t xml:space="preserve">(6)Centro de Investigación Biomédica en Red de Enfermedades Infecciosas </w:t>
      </w:r>
    </w:p>
    <w:p w14:paraId="23C9C7F2">
      <w:pPr>
        <w:pStyle w:val="2"/>
        <w:rPr>
          <w:rFonts w:hint="eastAsia"/>
        </w:rPr>
      </w:pPr>
      <w:r>
        <w:rPr>
          <w:rFonts w:hint="eastAsia"/>
        </w:rPr>
        <w:t xml:space="preserve">(CIBERINFEC), Instituto de Salud Carlos III (ISCIII), Madrid, Spain. </w:t>
      </w:r>
    </w:p>
    <w:p w14:paraId="1AE27639">
      <w:pPr>
        <w:pStyle w:val="2"/>
        <w:rPr>
          <w:rFonts w:hint="eastAsia"/>
        </w:rPr>
      </w:pPr>
      <w:r>
        <w:rPr>
          <w:rFonts w:hint="eastAsia"/>
        </w:rPr>
        <w:t>mperezja82@hotmail.com.</w:t>
      </w:r>
    </w:p>
    <w:p w14:paraId="1D043DB7">
      <w:pPr>
        <w:pStyle w:val="2"/>
        <w:rPr>
          <w:rFonts w:hint="eastAsia"/>
        </w:rPr>
      </w:pPr>
    </w:p>
    <w:p w14:paraId="2A90969A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Monitoring treatment response in tuberculosis (TB) remains a major </w:t>
      </w:r>
    </w:p>
    <w:p w14:paraId="1573C893">
      <w:pPr>
        <w:pStyle w:val="2"/>
        <w:rPr>
          <w:rFonts w:hint="eastAsia"/>
        </w:rPr>
      </w:pPr>
      <w:r>
        <w:rPr>
          <w:rFonts w:hint="eastAsia"/>
        </w:rPr>
        <w:t xml:space="preserve">clinical challenge, particularly in extrapulmonary forms. 18-F </w:t>
      </w:r>
    </w:p>
    <w:p w14:paraId="5017A9B9">
      <w:pPr>
        <w:pStyle w:val="2"/>
        <w:rPr>
          <w:rFonts w:hint="eastAsia"/>
        </w:rPr>
      </w:pPr>
      <w:r>
        <w:rPr>
          <w:rFonts w:hint="eastAsia"/>
        </w:rPr>
        <w:t xml:space="preserve">Fluorodeoxyglucose positron emission tomography (18F-FDG PET/CT) has emerged as </w:t>
      </w:r>
    </w:p>
    <w:p w14:paraId="4D9A3A2A">
      <w:pPr>
        <w:pStyle w:val="2"/>
        <w:rPr>
          <w:rFonts w:hint="eastAsia"/>
        </w:rPr>
      </w:pPr>
      <w:r>
        <w:rPr>
          <w:rFonts w:hint="eastAsia"/>
        </w:rPr>
        <w:t xml:space="preserve">a potential adjunctive tool, enabling quantification of metabolic activity. We </w:t>
      </w:r>
    </w:p>
    <w:p w14:paraId="43F62A09">
      <w:pPr>
        <w:pStyle w:val="2"/>
        <w:rPr>
          <w:rFonts w:hint="eastAsia"/>
        </w:rPr>
      </w:pPr>
      <w:r>
        <w:rPr>
          <w:rFonts w:hint="eastAsia"/>
        </w:rPr>
        <w:t xml:space="preserve">report our experience using 18F-FDG PET/CT for monitoring treatment response in </w:t>
      </w:r>
    </w:p>
    <w:p w14:paraId="19279CE5">
      <w:pPr>
        <w:pStyle w:val="2"/>
        <w:rPr>
          <w:rFonts w:hint="eastAsia"/>
        </w:rPr>
      </w:pPr>
      <w:r>
        <w:rPr>
          <w:rFonts w:hint="eastAsia"/>
        </w:rPr>
        <w:t>extrapulmonary TB.</w:t>
      </w:r>
    </w:p>
    <w:p w14:paraId="2197E8A2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METHODS: </w:t>
      </w:r>
      <w:r>
        <w:rPr>
          <w:rFonts w:hint="eastAsia"/>
        </w:rPr>
        <w:t xml:space="preserve">We performed a retrospective observational study at a tertiary hospital </w:t>
      </w:r>
    </w:p>
    <w:p w14:paraId="4569FB79">
      <w:pPr>
        <w:pStyle w:val="2"/>
        <w:rPr>
          <w:rFonts w:hint="eastAsia"/>
        </w:rPr>
      </w:pPr>
      <w:r>
        <w:rPr>
          <w:rFonts w:hint="eastAsia"/>
        </w:rPr>
        <w:t xml:space="preserve">in Spain, including adult patients diagnosed with extrapulmonary TB who </w:t>
      </w:r>
    </w:p>
    <w:p w14:paraId="11248380">
      <w:pPr>
        <w:pStyle w:val="2"/>
        <w:rPr>
          <w:rFonts w:hint="eastAsia"/>
        </w:rPr>
      </w:pPr>
      <w:r>
        <w:rPr>
          <w:rFonts w:hint="eastAsia"/>
        </w:rPr>
        <w:t xml:space="preserve">underwent a baseline 18F-FDG PET/CT and at least one follow-up scan from January </w:t>
      </w:r>
    </w:p>
    <w:p w14:paraId="0DB7804D">
      <w:pPr>
        <w:pStyle w:val="2"/>
        <w:rPr>
          <w:rFonts w:hint="eastAsia"/>
        </w:rPr>
      </w:pPr>
      <w:r>
        <w:rPr>
          <w:rFonts w:hint="eastAsia"/>
        </w:rPr>
        <w:t xml:space="preserve">2014 to April 2026. Clinical, microbiological, and radiological data were </w:t>
      </w:r>
    </w:p>
    <w:p w14:paraId="2FEC95FC">
      <w:pPr>
        <w:pStyle w:val="2"/>
        <w:rPr>
          <w:rFonts w:hint="eastAsia"/>
        </w:rPr>
      </w:pPr>
      <w:r>
        <w:rPr>
          <w:rFonts w:hint="eastAsia"/>
        </w:rPr>
        <w:t xml:space="preserve">reviewed alongside changes in maximum standardized uptake value (SUVmax) across </w:t>
      </w:r>
    </w:p>
    <w:p w14:paraId="7FEECBE3">
      <w:pPr>
        <w:pStyle w:val="2"/>
        <w:rPr>
          <w:rFonts w:hint="eastAsia"/>
        </w:rPr>
      </w:pPr>
      <w:r>
        <w:rPr>
          <w:rFonts w:hint="eastAsia"/>
        </w:rPr>
        <w:t>serial PET/CT studies.</w:t>
      </w:r>
    </w:p>
    <w:p w14:paraId="117D32D5">
      <w:pPr>
        <w:pStyle w:val="2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Twelve patients were included, most commonly with lymphatic (41.7%) or </w:t>
      </w:r>
    </w:p>
    <w:p w14:paraId="2571A031">
      <w:pPr>
        <w:pStyle w:val="2"/>
        <w:rPr>
          <w:rFonts w:hint="eastAsia"/>
        </w:rPr>
      </w:pPr>
      <w:r>
        <w:rPr>
          <w:rFonts w:hint="eastAsia"/>
        </w:rPr>
        <w:t xml:space="preserve">bone involvement (33.3%). At the end of the initially planned treatment, seven </w:t>
      </w:r>
    </w:p>
    <w:p w14:paraId="7CB76220">
      <w:pPr>
        <w:pStyle w:val="2"/>
        <w:rPr>
          <w:rFonts w:hint="eastAsia"/>
        </w:rPr>
      </w:pPr>
      <w:r>
        <w:rPr>
          <w:rFonts w:hint="eastAsia"/>
        </w:rPr>
        <w:t xml:space="preserve">patients (58.3%) showed a marked (&gt; 50%) reduction in SUVmax. Clinical outcomes </w:t>
      </w:r>
    </w:p>
    <w:p w14:paraId="57B0A34F">
      <w:pPr>
        <w:pStyle w:val="2"/>
        <w:rPr>
          <w:rFonts w:hint="eastAsia"/>
        </w:rPr>
      </w:pPr>
      <w:r>
        <w:rPr>
          <w:rFonts w:hint="eastAsia"/>
        </w:rPr>
        <w:t xml:space="preserve">were favourable in all seven. In contrast, the remaining five (41.7%) showed </w:t>
      </w:r>
    </w:p>
    <w:p w14:paraId="782934F9">
      <w:pPr>
        <w:pStyle w:val="2"/>
        <w:rPr>
          <w:rFonts w:hint="eastAsia"/>
        </w:rPr>
      </w:pPr>
      <w:r>
        <w:rPr>
          <w:rFonts w:hint="eastAsia"/>
        </w:rPr>
        <w:t xml:space="preserve">persistent or increased metabolic uptake. Among these, two had favourable </w:t>
      </w:r>
    </w:p>
    <w:p w14:paraId="0D179265">
      <w:pPr>
        <w:pStyle w:val="2"/>
        <w:rPr>
          <w:rFonts w:hint="eastAsia"/>
        </w:rPr>
      </w:pPr>
      <w:r>
        <w:rPr>
          <w:rFonts w:hint="eastAsia"/>
        </w:rPr>
        <w:t xml:space="preserve">clinical outcomes, suggesting sterile inflammation. The other three patients had </w:t>
      </w:r>
    </w:p>
    <w:p w14:paraId="36F43653">
      <w:pPr>
        <w:pStyle w:val="2"/>
        <w:rPr>
          <w:rFonts w:hint="eastAsia"/>
        </w:rPr>
      </w:pPr>
      <w:r>
        <w:rPr>
          <w:rFonts w:hint="eastAsia"/>
        </w:rPr>
        <w:t xml:space="preserve">an unfavourable clinical evolution with persistent symptoms. In two of them, new </w:t>
      </w:r>
    </w:p>
    <w:p w14:paraId="3A006B6F">
      <w:pPr>
        <w:pStyle w:val="2"/>
        <w:rPr>
          <w:rFonts w:hint="eastAsia"/>
        </w:rPr>
      </w:pPr>
      <w:r>
        <w:rPr>
          <w:rFonts w:hint="eastAsia"/>
        </w:rPr>
        <w:t>targeted biopsies demonstrated an alternative diagnosis.</w:t>
      </w:r>
    </w:p>
    <w:p w14:paraId="4BCE29F3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CONCLUSION: </w:t>
      </w:r>
      <w:r>
        <w:rPr>
          <w:rFonts w:hint="eastAsia"/>
        </w:rPr>
        <w:t xml:space="preserve">18F-FDG PET/CT may effectively assist clinicians in monitoring </w:t>
      </w:r>
    </w:p>
    <w:p w14:paraId="69E8484A">
      <w:pPr>
        <w:pStyle w:val="2"/>
        <w:rPr>
          <w:rFonts w:hint="eastAsia"/>
        </w:rPr>
      </w:pPr>
      <w:r>
        <w:rPr>
          <w:rFonts w:hint="eastAsia"/>
        </w:rPr>
        <w:t xml:space="preserve">treatment response in complex scenarios with a suboptimal or unfavourable </w:t>
      </w:r>
    </w:p>
    <w:p w14:paraId="17E82B45">
      <w:pPr>
        <w:pStyle w:val="2"/>
        <w:rPr>
          <w:rFonts w:hint="eastAsia"/>
        </w:rPr>
      </w:pPr>
      <w:r>
        <w:rPr>
          <w:rFonts w:hint="eastAsia"/>
        </w:rPr>
        <w:t xml:space="preserve">clinical response. However, persistent hypermetabolism must be interpreted </w:t>
      </w:r>
    </w:p>
    <w:p w14:paraId="1C5CD5B9">
      <w:pPr>
        <w:pStyle w:val="2"/>
        <w:rPr>
          <w:rFonts w:hint="eastAsia"/>
        </w:rPr>
      </w:pPr>
      <w:r>
        <w:rPr>
          <w:rFonts w:hint="eastAsia"/>
        </w:rPr>
        <w:t xml:space="preserve">cautiously, as it may reflect sterile inflammation or alternative diagnoses </w:t>
      </w:r>
    </w:p>
    <w:p w14:paraId="504A0ABC">
      <w:pPr>
        <w:pStyle w:val="2"/>
        <w:rPr>
          <w:rFonts w:hint="eastAsia"/>
        </w:rPr>
      </w:pPr>
      <w:r>
        <w:rPr>
          <w:rFonts w:hint="eastAsia"/>
        </w:rPr>
        <w:t>rather than ongoing infection.</w:t>
      </w:r>
    </w:p>
    <w:p w14:paraId="1224AC81">
      <w:pPr>
        <w:pStyle w:val="2"/>
        <w:rPr>
          <w:rFonts w:hint="eastAsia"/>
        </w:rPr>
      </w:pPr>
    </w:p>
    <w:p w14:paraId="7A53C132">
      <w:pPr>
        <w:pStyle w:val="2"/>
        <w:rPr>
          <w:rFonts w:hint="eastAsia"/>
        </w:rPr>
      </w:pPr>
      <w:r>
        <w:rPr>
          <w:rFonts w:hint="eastAsia"/>
        </w:rPr>
        <w:t>© 2026. Springer-Verlag GmbH Germany, part of Springer Nature.</w:t>
      </w:r>
    </w:p>
    <w:p w14:paraId="5947798D">
      <w:pPr>
        <w:pStyle w:val="2"/>
        <w:rPr>
          <w:rFonts w:hint="eastAsia"/>
        </w:rPr>
      </w:pPr>
    </w:p>
    <w:p w14:paraId="769BF2F2">
      <w:pPr>
        <w:pStyle w:val="2"/>
        <w:rPr>
          <w:rFonts w:hint="eastAsia"/>
        </w:rPr>
      </w:pPr>
      <w:r>
        <w:rPr>
          <w:rFonts w:hint="eastAsia"/>
        </w:rPr>
        <w:t>DOI: 10.1007/s15010-026-02977-7</w:t>
      </w:r>
    </w:p>
    <w:p w14:paraId="1CA31F94">
      <w:pPr>
        <w:pStyle w:val="2"/>
        <w:rPr>
          <w:rFonts w:hint="eastAsia"/>
        </w:rPr>
      </w:pPr>
      <w:r>
        <w:rPr>
          <w:rFonts w:hint="eastAsia"/>
        </w:rPr>
        <w:t>PMID: 42848181</w:t>
      </w:r>
    </w:p>
    <w:p w14:paraId="0C9688DA">
      <w:pPr>
        <w:pStyle w:val="2"/>
        <w:rPr>
          <w:rFonts w:hint="eastAsia"/>
        </w:rPr>
      </w:pPr>
    </w:p>
    <w:p w14:paraId="5C9BCA90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3</w:t>
      </w:r>
      <w:r>
        <w:rPr>
          <w:rFonts w:hint="eastAsia"/>
          <w:b/>
          <w:bCs/>
          <w:color w:val="FF0000"/>
          <w:lang w:val="en-US" w:eastAsia="zh-CN"/>
        </w:rPr>
        <w:t>0</w:t>
      </w:r>
      <w:r>
        <w:rPr>
          <w:rFonts w:hint="eastAsia"/>
          <w:b/>
          <w:bCs/>
          <w:color w:val="FF0000"/>
        </w:rPr>
        <w:t>. Infection. 2026 Oct 8. doi: 10.1007/s15010-026-02941-5. Online ahead of print.</w:t>
      </w:r>
    </w:p>
    <w:p w14:paraId="076501B3">
      <w:pPr>
        <w:pStyle w:val="2"/>
        <w:rPr>
          <w:rFonts w:hint="eastAsia"/>
        </w:rPr>
      </w:pPr>
    </w:p>
    <w:p w14:paraId="44D34AE1">
      <w:pPr>
        <w:pStyle w:val="2"/>
        <w:rPr>
          <w:rFonts w:hint="eastAsia"/>
        </w:rPr>
      </w:pPr>
      <w:r>
        <w:rPr>
          <w:rFonts w:hint="eastAsia"/>
        </w:rPr>
        <w:t xml:space="preserve">Pathogen and host biomarkers to aid early diagnosis and prognosis of tuberculous </w:t>
      </w:r>
    </w:p>
    <w:p w14:paraId="79606F25">
      <w:pPr>
        <w:pStyle w:val="2"/>
        <w:rPr>
          <w:rFonts w:hint="eastAsia"/>
        </w:rPr>
      </w:pPr>
      <w:r>
        <w:rPr>
          <w:rFonts w:hint="eastAsia"/>
        </w:rPr>
        <w:t>meningitis.</w:t>
      </w:r>
    </w:p>
    <w:p w14:paraId="5751CCB9">
      <w:pPr>
        <w:pStyle w:val="2"/>
        <w:rPr>
          <w:rFonts w:hint="eastAsia"/>
        </w:rPr>
      </w:pPr>
    </w:p>
    <w:p w14:paraId="30CEA416">
      <w:pPr>
        <w:pStyle w:val="2"/>
        <w:rPr>
          <w:rFonts w:hint="eastAsia"/>
        </w:rPr>
      </w:pPr>
      <w:r>
        <w:rPr>
          <w:rFonts w:hint="eastAsia"/>
        </w:rPr>
        <w:t xml:space="preserve">Singh UB(1), Angitha KP(2), Adarsh AK(3), Bala K(2), Wig N(3), Srivastava AK(4), </w:t>
      </w:r>
    </w:p>
    <w:p w14:paraId="4BC2C89B">
      <w:pPr>
        <w:pStyle w:val="2"/>
        <w:rPr>
          <w:rFonts w:hint="eastAsia"/>
        </w:rPr>
      </w:pPr>
      <w:r>
        <w:rPr>
          <w:rFonts w:hint="eastAsia"/>
        </w:rPr>
        <w:t>Kanga U(5).</w:t>
      </w:r>
    </w:p>
    <w:p w14:paraId="3115719D">
      <w:pPr>
        <w:pStyle w:val="2"/>
        <w:rPr>
          <w:rFonts w:hint="eastAsia"/>
        </w:rPr>
      </w:pPr>
    </w:p>
    <w:p w14:paraId="1151200A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49CEA476">
      <w:pPr>
        <w:pStyle w:val="2"/>
        <w:rPr>
          <w:rFonts w:hint="eastAsia"/>
        </w:rPr>
      </w:pPr>
      <w:r>
        <w:rPr>
          <w:rFonts w:hint="eastAsia"/>
        </w:rPr>
        <w:t xml:space="preserve">(1)Department of Microbiology, All India Institute of Medical Sciences, New </w:t>
      </w:r>
    </w:p>
    <w:p w14:paraId="24706EB9">
      <w:pPr>
        <w:pStyle w:val="2"/>
        <w:rPr>
          <w:rFonts w:hint="eastAsia"/>
        </w:rPr>
      </w:pPr>
      <w:r>
        <w:rPr>
          <w:rFonts w:hint="eastAsia"/>
        </w:rPr>
        <w:t>Delhi, India. drurvashi@gmail.com.</w:t>
      </w:r>
    </w:p>
    <w:p w14:paraId="5283BFEC">
      <w:pPr>
        <w:pStyle w:val="2"/>
        <w:rPr>
          <w:rFonts w:hint="eastAsia"/>
        </w:rPr>
      </w:pPr>
      <w:r>
        <w:rPr>
          <w:rFonts w:hint="eastAsia"/>
        </w:rPr>
        <w:t xml:space="preserve">(2)Department of Microbiology, All India Institute of Medical Sciences, New </w:t>
      </w:r>
    </w:p>
    <w:p w14:paraId="3B9152CA">
      <w:pPr>
        <w:pStyle w:val="2"/>
        <w:rPr>
          <w:rFonts w:hint="eastAsia"/>
        </w:rPr>
      </w:pPr>
      <w:r>
        <w:rPr>
          <w:rFonts w:hint="eastAsia"/>
        </w:rPr>
        <w:t>Delhi, India.</w:t>
      </w:r>
    </w:p>
    <w:p w14:paraId="61637D21">
      <w:pPr>
        <w:pStyle w:val="2"/>
        <w:rPr>
          <w:rFonts w:hint="eastAsia"/>
        </w:rPr>
      </w:pPr>
      <w:r>
        <w:rPr>
          <w:rFonts w:hint="eastAsia"/>
        </w:rPr>
        <w:t xml:space="preserve">(3)Department of Medicine and Microbiology, All India Institute of Medical </w:t>
      </w:r>
    </w:p>
    <w:p w14:paraId="4D537E7E">
      <w:pPr>
        <w:pStyle w:val="2"/>
        <w:rPr>
          <w:rFonts w:hint="eastAsia"/>
        </w:rPr>
      </w:pPr>
      <w:r>
        <w:rPr>
          <w:rFonts w:hint="eastAsia"/>
        </w:rPr>
        <w:t>Sciences, New Delhi, India.</w:t>
      </w:r>
    </w:p>
    <w:p w14:paraId="39B75B3D">
      <w:pPr>
        <w:pStyle w:val="2"/>
        <w:rPr>
          <w:rFonts w:hint="eastAsia"/>
        </w:rPr>
      </w:pPr>
      <w:r>
        <w:rPr>
          <w:rFonts w:hint="eastAsia"/>
        </w:rPr>
        <w:t xml:space="preserve">(4)Department of Neurology, All India Institute of Medical Sciences, New Delhi, </w:t>
      </w:r>
    </w:p>
    <w:p w14:paraId="6C40695D">
      <w:pPr>
        <w:pStyle w:val="2"/>
        <w:rPr>
          <w:rFonts w:hint="eastAsia"/>
        </w:rPr>
      </w:pPr>
      <w:r>
        <w:rPr>
          <w:rFonts w:hint="eastAsia"/>
        </w:rPr>
        <w:t>India.</w:t>
      </w:r>
    </w:p>
    <w:p w14:paraId="1E88E772">
      <w:pPr>
        <w:pStyle w:val="2"/>
        <w:rPr>
          <w:rFonts w:hint="eastAsia"/>
        </w:rPr>
      </w:pPr>
      <w:r>
        <w:rPr>
          <w:rFonts w:hint="eastAsia"/>
        </w:rPr>
        <w:t xml:space="preserve">(5)Department of Transplant Immunology and Immunogenetics, All India Institute </w:t>
      </w:r>
    </w:p>
    <w:p w14:paraId="79DE6986">
      <w:pPr>
        <w:pStyle w:val="2"/>
        <w:rPr>
          <w:rFonts w:hint="eastAsia"/>
        </w:rPr>
      </w:pPr>
      <w:r>
        <w:rPr>
          <w:rFonts w:hint="eastAsia"/>
        </w:rPr>
        <w:t>of Medical Sciences, New Delhi, India.</w:t>
      </w:r>
    </w:p>
    <w:p w14:paraId="156D66F8">
      <w:pPr>
        <w:pStyle w:val="2"/>
        <w:rPr>
          <w:rFonts w:hint="eastAsia"/>
        </w:rPr>
      </w:pPr>
    </w:p>
    <w:p w14:paraId="0053CFD2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Tuberculous meningitis (TBM) is the most sinister form of </w:t>
      </w:r>
    </w:p>
    <w:p w14:paraId="7A18544C">
      <w:pPr>
        <w:pStyle w:val="2"/>
        <w:rPr>
          <w:rFonts w:hint="eastAsia"/>
        </w:rPr>
      </w:pPr>
      <w:r>
        <w:rPr>
          <w:rFonts w:hint="eastAsia"/>
        </w:rPr>
        <w:t xml:space="preserve">extrapulmonary tuberculosis (EPTB), associated with high mortality due to </w:t>
      </w:r>
    </w:p>
    <w:p w14:paraId="25D98B42">
      <w:pPr>
        <w:pStyle w:val="2"/>
        <w:rPr>
          <w:rFonts w:hint="eastAsia"/>
        </w:rPr>
      </w:pPr>
      <w:r>
        <w:rPr>
          <w:rFonts w:hint="eastAsia"/>
        </w:rPr>
        <w:t xml:space="preserve">delayed diagnosis and limited sensitivity of conventional and molecular tests. </w:t>
      </w:r>
    </w:p>
    <w:p w14:paraId="32016B5E">
      <w:pPr>
        <w:pStyle w:val="2"/>
        <w:rPr>
          <w:rFonts w:hint="eastAsia"/>
        </w:rPr>
      </w:pPr>
      <w:r>
        <w:rPr>
          <w:rFonts w:hint="eastAsia"/>
        </w:rPr>
        <w:t xml:space="preserve">Current study evaluated the diagnostic utility of Lipoarabinomannan antigen </w:t>
      </w:r>
    </w:p>
    <w:p w14:paraId="48B1D839">
      <w:pPr>
        <w:pStyle w:val="2"/>
        <w:rPr>
          <w:rFonts w:hint="eastAsia"/>
        </w:rPr>
      </w:pPr>
      <w:r>
        <w:rPr>
          <w:rFonts w:hint="eastAsia"/>
        </w:rPr>
        <w:t xml:space="preserve">(LAM) detection in CSF and urine and explored host inflammatory biomarkers for </w:t>
      </w:r>
    </w:p>
    <w:p w14:paraId="6A7B8B0F">
      <w:pPr>
        <w:pStyle w:val="2"/>
        <w:rPr>
          <w:rFonts w:hint="eastAsia"/>
        </w:rPr>
      </w:pPr>
      <w:r>
        <w:rPr>
          <w:rFonts w:hint="eastAsia"/>
        </w:rPr>
        <w:t>diagnosis and prognosis of TBM.</w:t>
      </w:r>
    </w:p>
    <w:p w14:paraId="58F3159D">
      <w:pPr>
        <w:pStyle w:val="2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This prospective observational cohort study enrolled 80 HIV-negative </w:t>
      </w:r>
    </w:p>
    <w:p w14:paraId="1D80D08F">
      <w:pPr>
        <w:pStyle w:val="2"/>
        <w:rPr>
          <w:rFonts w:hint="eastAsia"/>
        </w:rPr>
      </w:pPr>
      <w:r>
        <w:rPr>
          <w:rFonts w:hint="eastAsia"/>
        </w:rPr>
        <w:t xml:space="preserve">adults with presumptive TBM at a tertiary care center. Patients were classified </w:t>
      </w:r>
    </w:p>
    <w:p w14:paraId="7E562074">
      <w:pPr>
        <w:pStyle w:val="2"/>
        <w:rPr>
          <w:rFonts w:hint="eastAsia"/>
        </w:rPr>
      </w:pPr>
      <w:r>
        <w:rPr>
          <w:rFonts w:hint="eastAsia"/>
        </w:rPr>
        <w:t xml:space="preserve">according to the uniform TBM case definition, based on clinical, CSF, </w:t>
      </w:r>
    </w:p>
    <w:p w14:paraId="2C46AD45">
      <w:pPr>
        <w:pStyle w:val="2"/>
        <w:rPr>
          <w:rFonts w:hint="eastAsia"/>
        </w:rPr>
      </w:pPr>
      <w:r>
        <w:rPr>
          <w:rFonts w:hint="eastAsia"/>
        </w:rPr>
        <w:t xml:space="preserve">radiological, and microbiological findings. CSF samples were subjected to AFB </w:t>
      </w:r>
    </w:p>
    <w:p w14:paraId="456F8FDF">
      <w:pPr>
        <w:pStyle w:val="2"/>
        <w:rPr>
          <w:rFonts w:hint="eastAsia"/>
        </w:rPr>
      </w:pPr>
      <w:r>
        <w:rPr>
          <w:rFonts w:hint="eastAsia"/>
        </w:rPr>
        <w:t xml:space="preserve">microscopy, liquid culture (MGIT-960), GeneXpert MTB/RIF (GX), and LAM lateral </w:t>
      </w:r>
    </w:p>
    <w:p w14:paraId="1151006A">
      <w:pPr>
        <w:pStyle w:val="2"/>
        <w:rPr>
          <w:rFonts w:hint="eastAsia"/>
        </w:rPr>
      </w:pPr>
      <w:r>
        <w:rPr>
          <w:rFonts w:hint="eastAsia"/>
        </w:rPr>
        <w:t xml:space="preserve">flow assay. Urine LAM was performed at baseline. Serum and CSF levels of IL-1β, </w:t>
      </w:r>
    </w:p>
    <w:p w14:paraId="27BD9FC2">
      <w:pPr>
        <w:pStyle w:val="2"/>
        <w:rPr>
          <w:rFonts w:hint="eastAsia"/>
        </w:rPr>
      </w:pPr>
      <w:r>
        <w:rPr>
          <w:rFonts w:hint="eastAsia"/>
        </w:rPr>
        <w:t xml:space="preserve">IL-6, TNF-α, IFN-γ, IL-17 A, and IP-10 were measured at baseline and after 1 </w:t>
      </w:r>
    </w:p>
    <w:p w14:paraId="76DDAC03">
      <w:pPr>
        <w:pStyle w:val="2"/>
        <w:rPr>
          <w:rFonts w:hint="eastAsia"/>
        </w:rPr>
      </w:pPr>
      <w:r>
        <w:rPr>
          <w:rFonts w:hint="eastAsia"/>
        </w:rPr>
        <w:t>month of treatment.</w:t>
      </w:r>
    </w:p>
    <w:p w14:paraId="663A1969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Among 80 HIV-negative participants, 23 (28.7%) had definite TBM and 46 </w:t>
      </w:r>
    </w:p>
    <w:p w14:paraId="6A1B6FE3">
      <w:pPr>
        <w:pStyle w:val="2"/>
        <w:rPr>
          <w:rFonts w:hint="eastAsia"/>
        </w:rPr>
      </w:pPr>
      <w:r>
        <w:rPr>
          <w:rFonts w:hint="eastAsia"/>
        </w:rPr>
        <w:t xml:space="preserve">(57.5%) had probable TBM. CSF LAM sensitivity and specificity against </w:t>
      </w:r>
    </w:p>
    <w:p w14:paraId="1C572D9C">
      <w:pPr>
        <w:pStyle w:val="2"/>
        <w:rPr>
          <w:rFonts w:hint="eastAsia"/>
        </w:rPr>
      </w:pPr>
      <w:r>
        <w:rPr>
          <w:rFonts w:hint="eastAsia"/>
        </w:rPr>
        <w:t xml:space="preserve">microbiological reference standards were 43.5% and 80.7%, while urine LAM </w:t>
      </w:r>
    </w:p>
    <w:p w14:paraId="4C234840">
      <w:pPr>
        <w:pStyle w:val="2"/>
        <w:rPr>
          <w:rFonts w:hint="eastAsia"/>
        </w:rPr>
      </w:pPr>
      <w:r>
        <w:rPr>
          <w:rFonts w:hint="eastAsia"/>
        </w:rPr>
        <w:t xml:space="preserve">sensitivity (60.9%) and specificity 82.5% were higher. Against composite </w:t>
      </w:r>
    </w:p>
    <w:p w14:paraId="29E90425">
      <w:pPr>
        <w:pStyle w:val="2"/>
        <w:rPr>
          <w:rFonts w:hint="eastAsia"/>
        </w:rPr>
      </w:pPr>
      <w:r>
        <w:rPr>
          <w:rFonts w:hint="eastAsia"/>
        </w:rPr>
        <w:t xml:space="preserve">reference standards, both CSF and urine LAM showed reduced sensitivity but </w:t>
      </w:r>
    </w:p>
    <w:p w14:paraId="4D31A554">
      <w:pPr>
        <w:pStyle w:val="2"/>
        <w:rPr>
          <w:rFonts w:hint="eastAsia"/>
        </w:rPr>
      </w:pPr>
      <w:r>
        <w:rPr>
          <w:rFonts w:hint="eastAsia"/>
        </w:rPr>
        <w:t xml:space="preserve">achieved 100% specificity. Serum IL-1β demonstrated the highest diagnostic </w:t>
      </w:r>
    </w:p>
    <w:p w14:paraId="184269A9">
      <w:pPr>
        <w:pStyle w:val="2"/>
        <w:rPr>
          <w:rFonts w:hint="eastAsia"/>
        </w:rPr>
      </w:pPr>
      <w:r>
        <w:rPr>
          <w:rFonts w:hint="eastAsia"/>
        </w:rPr>
        <w:t xml:space="preserve">performance for distinguishing TBM from non-TBM patients (AUC 0.943; sensitivity </w:t>
      </w:r>
    </w:p>
    <w:p w14:paraId="42F40747">
      <w:pPr>
        <w:pStyle w:val="2"/>
        <w:rPr>
          <w:rFonts w:hint="eastAsia"/>
        </w:rPr>
      </w:pPr>
      <w:r>
        <w:rPr>
          <w:rFonts w:hint="eastAsia"/>
        </w:rPr>
        <w:t xml:space="preserve">88.9%, specificity 90.9%). Elevated serum and CSF IP-10 levels were associated </w:t>
      </w:r>
    </w:p>
    <w:p w14:paraId="38781AE4">
      <w:pPr>
        <w:pStyle w:val="2"/>
        <w:rPr>
          <w:rFonts w:hint="eastAsia"/>
        </w:rPr>
      </w:pPr>
      <w:r>
        <w:rPr>
          <w:rFonts w:hint="eastAsia"/>
        </w:rPr>
        <w:t xml:space="preserve">with on-treatment mortality, whereas declining IL-6 and TNF-α levels correlated </w:t>
      </w:r>
    </w:p>
    <w:p w14:paraId="2A007F42">
      <w:pPr>
        <w:pStyle w:val="2"/>
        <w:rPr>
          <w:rFonts w:hint="eastAsia"/>
        </w:rPr>
      </w:pPr>
      <w:r>
        <w:rPr>
          <w:rFonts w:hint="eastAsia"/>
        </w:rPr>
        <w:t>with treatment response.</w:t>
      </w:r>
    </w:p>
    <w:p w14:paraId="7706B58F">
      <w:pPr>
        <w:pStyle w:val="2"/>
        <w:rPr>
          <w:rFonts w:hint="eastAsia"/>
        </w:rPr>
      </w:pPr>
      <w:r>
        <w:rPr>
          <w:rFonts w:hint="eastAsia"/>
          <w:b/>
          <w:bCs/>
        </w:rPr>
        <w:t>CONCLUSION:</w:t>
      </w:r>
      <w:r>
        <w:rPr>
          <w:rFonts w:hint="eastAsia"/>
        </w:rPr>
        <w:t xml:space="preserve"> LAM detection in CSF and urine may serve as a useful adjunct to </w:t>
      </w:r>
    </w:p>
    <w:p w14:paraId="7E8BB50E">
      <w:pPr>
        <w:pStyle w:val="2"/>
        <w:rPr>
          <w:rFonts w:hint="eastAsia"/>
        </w:rPr>
      </w:pPr>
      <w:r>
        <w:rPr>
          <w:rFonts w:hint="eastAsia"/>
        </w:rPr>
        <w:t xml:space="preserve">existing diagnostic approaches for TBM when interpreted alongside clinical, </w:t>
      </w:r>
    </w:p>
    <w:p w14:paraId="4EA8C43C">
      <w:pPr>
        <w:pStyle w:val="2"/>
        <w:rPr>
          <w:rFonts w:hint="eastAsia"/>
        </w:rPr>
      </w:pPr>
      <w:r>
        <w:rPr>
          <w:rFonts w:hint="eastAsia"/>
        </w:rPr>
        <w:t xml:space="preserve">radiological, and microbiological findings. Host inflammatory biomarkers, </w:t>
      </w:r>
    </w:p>
    <w:p w14:paraId="6915A8CF">
      <w:pPr>
        <w:pStyle w:val="2"/>
        <w:rPr>
          <w:rFonts w:hint="eastAsia"/>
        </w:rPr>
      </w:pPr>
      <w:r>
        <w:rPr>
          <w:rFonts w:hint="eastAsia"/>
        </w:rPr>
        <w:t xml:space="preserve">especially IL-1β and IP-10, show additional diagnostic and prognostic value. </w:t>
      </w:r>
    </w:p>
    <w:p w14:paraId="1B2679D3">
      <w:pPr>
        <w:pStyle w:val="2"/>
        <w:rPr>
          <w:rFonts w:hint="eastAsia"/>
        </w:rPr>
      </w:pPr>
      <w:r>
        <w:rPr>
          <w:rFonts w:hint="eastAsia"/>
        </w:rPr>
        <w:t xml:space="preserve">Combining LAM testing with cytokine biomarkers may improve early diagnosis and </w:t>
      </w:r>
    </w:p>
    <w:p w14:paraId="64046DA4">
      <w:pPr>
        <w:pStyle w:val="2"/>
        <w:rPr>
          <w:rFonts w:hint="eastAsia"/>
        </w:rPr>
      </w:pPr>
      <w:r>
        <w:rPr>
          <w:rFonts w:hint="eastAsia"/>
        </w:rPr>
        <w:t xml:space="preserve">efficient clinical management of TBM. However, larger multicentre studies are </w:t>
      </w:r>
    </w:p>
    <w:p w14:paraId="56E556AA">
      <w:pPr>
        <w:pStyle w:val="2"/>
        <w:rPr>
          <w:rFonts w:hint="eastAsia"/>
        </w:rPr>
      </w:pPr>
      <w:r>
        <w:rPr>
          <w:rFonts w:hint="eastAsia"/>
        </w:rPr>
        <w:t>required to validate these findings before routine clinical implementation.</w:t>
      </w:r>
    </w:p>
    <w:p w14:paraId="4416CA27">
      <w:pPr>
        <w:pStyle w:val="2"/>
        <w:rPr>
          <w:rFonts w:hint="eastAsia"/>
        </w:rPr>
      </w:pPr>
    </w:p>
    <w:p w14:paraId="473C5CC1">
      <w:pPr>
        <w:pStyle w:val="2"/>
        <w:rPr>
          <w:rFonts w:hint="eastAsia"/>
        </w:rPr>
      </w:pPr>
      <w:r>
        <w:rPr>
          <w:rFonts w:hint="eastAsia"/>
        </w:rPr>
        <w:t>© 2026. Springer-Verlag GmbH Germany, part of Springer Nature.</w:t>
      </w:r>
    </w:p>
    <w:p w14:paraId="086E51F2">
      <w:pPr>
        <w:pStyle w:val="2"/>
        <w:rPr>
          <w:rFonts w:hint="eastAsia"/>
        </w:rPr>
      </w:pPr>
    </w:p>
    <w:p w14:paraId="70B6C4BB">
      <w:pPr>
        <w:pStyle w:val="2"/>
        <w:rPr>
          <w:rFonts w:hint="eastAsia"/>
        </w:rPr>
      </w:pPr>
      <w:r>
        <w:rPr>
          <w:rFonts w:hint="eastAsia"/>
        </w:rPr>
        <w:t>DOI: 10.1007/s15010-026-02941-5</w:t>
      </w:r>
    </w:p>
    <w:p w14:paraId="664C4E3A">
      <w:pPr>
        <w:pStyle w:val="2"/>
        <w:rPr>
          <w:rFonts w:hint="eastAsia"/>
        </w:rPr>
      </w:pPr>
      <w:r>
        <w:rPr>
          <w:rFonts w:hint="eastAsia"/>
        </w:rPr>
        <w:t>PMID: 42848178</w:t>
      </w:r>
    </w:p>
    <w:p w14:paraId="5BC8421A">
      <w:pPr>
        <w:pStyle w:val="2"/>
        <w:rPr>
          <w:rFonts w:hint="eastAsia"/>
        </w:rPr>
      </w:pPr>
    </w:p>
    <w:p w14:paraId="147265D8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3</w:t>
      </w:r>
      <w:r>
        <w:rPr>
          <w:rFonts w:hint="eastAsia"/>
          <w:b/>
          <w:bCs/>
          <w:color w:val="FF0000"/>
          <w:lang w:val="en-US" w:eastAsia="zh-CN"/>
        </w:rPr>
        <w:t>1</w:t>
      </w:r>
      <w:r>
        <w:rPr>
          <w:rFonts w:hint="eastAsia"/>
          <w:b/>
          <w:bCs/>
          <w:color w:val="FF0000"/>
        </w:rPr>
        <w:t xml:space="preserve">. Microbiol Spectr. 2026 Oct 8:e0219526. doi: 10.1128/spectrum.02195-26. Online </w:t>
      </w:r>
    </w:p>
    <w:p w14:paraId="792FCD4D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ahead of print.</w:t>
      </w:r>
    </w:p>
    <w:p w14:paraId="45389291">
      <w:pPr>
        <w:pStyle w:val="2"/>
        <w:rPr>
          <w:rFonts w:hint="eastAsia"/>
        </w:rPr>
      </w:pPr>
    </w:p>
    <w:p w14:paraId="5C6FE390">
      <w:pPr>
        <w:pStyle w:val="2"/>
        <w:rPr>
          <w:rFonts w:hint="eastAsia"/>
        </w:rPr>
      </w:pPr>
      <w:r>
        <w:rPr>
          <w:rFonts w:hint="eastAsia"/>
        </w:rPr>
        <w:t xml:space="preserve">Rapid simultaneous detection of katG S315T and rpoB S531L mutations for </w:t>
      </w:r>
    </w:p>
    <w:p w14:paraId="68A7DBFC">
      <w:pPr>
        <w:pStyle w:val="2"/>
        <w:rPr>
          <w:rFonts w:hint="eastAsia"/>
        </w:rPr>
      </w:pPr>
      <w:r>
        <w:rPr>
          <w:rFonts w:hint="eastAsia"/>
        </w:rPr>
        <w:t xml:space="preserve">molecular screening of multidrug-resistant tuberculosis using a dual </w:t>
      </w:r>
    </w:p>
    <w:p w14:paraId="6E1E9205">
      <w:pPr>
        <w:pStyle w:val="2"/>
        <w:rPr>
          <w:rFonts w:hint="eastAsia"/>
        </w:rPr>
      </w:pPr>
      <w:r>
        <w:rPr>
          <w:rFonts w:hint="eastAsia"/>
        </w:rPr>
        <w:t>LAMP-lateral flow assay.</w:t>
      </w:r>
    </w:p>
    <w:p w14:paraId="6E103495">
      <w:pPr>
        <w:pStyle w:val="2"/>
        <w:rPr>
          <w:rFonts w:hint="eastAsia"/>
        </w:rPr>
      </w:pPr>
    </w:p>
    <w:p w14:paraId="3E739278">
      <w:pPr>
        <w:pStyle w:val="2"/>
        <w:rPr>
          <w:rFonts w:hint="eastAsia"/>
        </w:rPr>
      </w:pPr>
      <w:r>
        <w:rPr>
          <w:rFonts w:hint="eastAsia"/>
        </w:rPr>
        <w:t>Ckumdee J(1), Santiwatanakul S(2), Vutipow N(3), Kaewphinit T(4)(5).</w:t>
      </w:r>
    </w:p>
    <w:p w14:paraId="5454DE34">
      <w:pPr>
        <w:pStyle w:val="2"/>
        <w:rPr>
          <w:rFonts w:hint="eastAsia"/>
        </w:rPr>
      </w:pPr>
    </w:p>
    <w:p w14:paraId="2F59A3DB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7514C5EF">
      <w:pPr>
        <w:pStyle w:val="2"/>
        <w:rPr>
          <w:rFonts w:hint="eastAsia"/>
        </w:rPr>
      </w:pPr>
      <w:r>
        <w:rPr>
          <w:rFonts w:hint="eastAsia"/>
        </w:rPr>
        <w:t xml:space="preserve">(1)Department of Clinical Pathology, Faculty of Medicine, Vajira Hospital, </w:t>
      </w:r>
    </w:p>
    <w:p w14:paraId="2A232445">
      <w:pPr>
        <w:pStyle w:val="2"/>
        <w:rPr>
          <w:rFonts w:hint="eastAsia"/>
        </w:rPr>
      </w:pPr>
      <w:r>
        <w:rPr>
          <w:rFonts w:hint="eastAsia"/>
        </w:rPr>
        <w:t>Navamindradhiraj University, Bangkok, Thailand.</w:t>
      </w:r>
    </w:p>
    <w:p w14:paraId="37FF6F2B">
      <w:pPr>
        <w:pStyle w:val="2"/>
        <w:rPr>
          <w:rFonts w:hint="eastAsia"/>
        </w:rPr>
      </w:pPr>
      <w:r>
        <w:rPr>
          <w:rFonts w:hint="eastAsia"/>
        </w:rPr>
        <w:t xml:space="preserve">(2)Department of Pathology, Faculty of Medicine, Srinakharinwirot University, </w:t>
      </w:r>
    </w:p>
    <w:p w14:paraId="6247E6E8">
      <w:pPr>
        <w:pStyle w:val="2"/>
        <w:rPr>
          <w:rFonts w:hint="eastAsia"/>
        </w:rPr>
      </w:pPr>
      <w:r>
        <w:rPr>
          <w:rFonts w:hint="eastAsia"/>
        </w:rPr>
        <w:t>Nakhonnayok, Thailand.</w:t>
      </w:r>
    </w:p>
    <w:p w14:paraId="1831D6A8">
      <w:pPr>
        <w:pStyle w:val="2"/>
        <w:rPr>
          <w:rFonts w:hint="eastAsia"/>
        </w:rPr>
      </w:pPr>
      <w:r>
        <w:rPr>
          <w:rFonts w:hint="eastAsia"/>
        </w:rPr>
        <w:t xml:space="preserve">(3)Genetic Engineering and Bioinformatics Interdisciplinary Program, Graduate </w:t>
      </w:r>
    </w:p>
    <w:p w14:paraId="6ED3E95F">
      <w:pPr>
        <w:pStyle w:val="2"/>
        <w:rPr>
          <w:rFonts w:hint="eastAsia"/>
        </w:rPr>
      </w:pPr>
      <w:r>
        <w:rPr>
          <w:rFonts w:hint="eastAsia"/>
        </w:rPr>
        <w:t>School, Kasetsart University, Bangkok, Thailand.</w:t>
      </w:r>
    </w:p>
    <w:p w14:paraId="5BD03F88">
      <w:pPr>
        <w:pStyle w:val="2"/>
        <w:rPr>
          <w:rFonts w:hint="eastAsia"/>
        </w:rPr>
      </w:pPr>
      <w:r>
        <w:rPr>
          <w:rFonts w:hint="eastAsia"/>
        </w:rPr>
        <w:t xml:space="preserve">(4)Center of Excellence in Medical and Environmental Innovation Research </w:t>
      </w:r>
    </w:p>
    <w:p w14:paraId="0EA49ED1">
      <w:pPr>
        <w:pStyle w:val="2"/>
        <w:rPr>
          <w:rFonts w:hint="eastAsia"/>
        </w:rPr>
      </w:pPr>
      <w:r>
        <w:rPr>
          <w:rFonts w:hint="eastAsia"/>
        </w:rPr>
        <w:t>(CEMEIR), Srinakharinwirot University, Bangkok, Thailand.</w:t>
      </w:r>
    </w:p>
    <w:p w14:paraId="742BA4BE">
      <w:pPr>
        <w:pStyle w:val="2"/>
        <w:rPr>
          <w:rFonts w:hint="eastAsia"/>
        </w:rPr>
      </w:pPr>
      <w:r>
        <w:rPr>
          <w:rFonts w:hint="eastAsia"/>
        </w:rPr>
        <w:t>(5)Innovative Learning Center, Srinakharinwirot University, Bangkok, Thailand.</w:t>
      </w:r>
    </w:p>
    <w:p w14:paraId="6AB399A0">
      <w:pPr>
        <w:pStyle w:val="2"/>
        <w:rPr>
          <w:rFonts w:hint="eastAsia"/>
        </w:rPr>
      </w:pPr>
    </w:p>
    <w:p w14:paraId="53C231CC">
      <w:pPr>
        <w:pStyle w:val="2"/>
        <w:rPr>
          <w:rFonts w:hint="eastAsia"/>
        </w:rPr>
      </w:pPr>
      <w:r>
        <w:rPr>
          <w:rFonts w:hint="eastAsia"/>
        </w:rPr>
        <w:t xml:space="preserve">The global spread of multidrug-resistant tuberculosis (MDR-TB) remains a major </w:t>
      </w:r>
    </w:p>
    <w:p w14:paraId="6975F4AC">
      <w:pPr>
        <w:pStyle w:val="2"/>
        <w:rPr>
          <w:rFonts w:hint="eastAsia"/>
        </w:rPr>
      </w:pPr>
      <w:r>
        <w:rPr>
          <w:rFonts w:hint="eastAsia"/>
        </w:rPr>
        <w:t xml:space="preserve">challenge to tuberculosis control programs, particularly in resource-limited </w:t>
      </w:r>
    </w:p>
    <w:p w14:paraId="775CCFB3">
      <w:pPr>
        <w:pStyle w:val="2"/>
        <w:rPr>
          <w:rFonts w:hint="eastAsia"/>
        </w:rPr>
      </w:pPr>
      <w:r>
        <w:rPr>
          <w:rFonts w:hint="eastAsia"/>
        </w:rPr>
        <w:t xml:space="preserve">settings where access to rapid molecular drug-susceptibility testing is limited. </w:t>
      </w:r>
    </w:p>
    <w:p w14:paraId="2AED5358">
      <w:pPr>
        <w:pStyle w:val="2"/>
        <w:rPr>
          <w:rFonts w:hint="eastAsia"/>
        </w:rPr>
      </w:pPr>
      <w:r>
        <w:rPr>
          <w:rFonts w:hint="eastAsia"/>
        </w:rPr>
        <w:t xml:space="preserve">Resistance to isoniazid and rifampicin is most commonly associated with </w:t>
      </w:r>
    </w:p>
    <w:p w14:paraId="178C8BEF">
      <w:pPr>
        <w:pStyle w:val="2"/>
        <w:rPr>
          <w:rFonts w:hint="eastAsia"/>
        </w:rPr>
      </w:pPr>
      <w:r>
        <w:rPr>
          <w:rFonts w:hint="eastAsia"/>
        </w:rPr>
        <w:t xml:space="preserve">mutations in the katG and rpoB genes, respectively, making these loci valuable </w:t>
      </w:r>
    </w:p>
    <w:p w14:paraId="34BA7AE5">
      <w:pPr>
        <w:pStyle w:val="2"/>
        <w:rPr>
          <w:rFonts w:hint="eastAsia"/>
        </w:rPr>
      </w:pPr>
      <w:r>
        <w:rPr>
          <w:rFonts w:hint="eastAsia"/>
        </w:rPr>
        <w:t xml:space="preserve">molecular markers for early MDR-TB screening. In this study, we developed a dual </w:t>
      </w:r>
    </w:p>
    <w:p w14:paraId="289CEBBD">
      <w:pPr>
        <w:pStyle w:val="2"/>
        <w:rPr>
          <w:rFonts w:hint="eastAsia"/>
        </w:rPr>
      </w:pPr>
      <w:r>
        <w:rPr>
          <w:rFonts w:hint="eastAsia"/>
        </w:rPr>
        <w:t xml:space="preserve">loop-mediated isothermal amplification assay coupled with lateral flow detection </w:t>
      </w:r>
    </w:p>
    <w:p w14:paraId="1A93CE3D">
      <w:pPr>
        <w:pStyle w:val="2"/>
        <w:rPr>
          <w:rFonts w:hint="eastAsia"/>
        </w:rPr>
      </w:pPr>
      <w:r>
        <w:rPr>
          <w:rFonts w:hint="eastAsia"/>
        </w:rPr>
        <w:t xml:space="preserve">for the simultaneous identification of the katG S315T and rpoB S531L mutations </w:t>
      </w:r>
    </w:p>
    <w:p w14:paraId="5A3B07BB">
      <w:pPr>
        <w:pStyle w:val="2"/>
        <w:rPr>
          <w:rFonts w:hint="eastAsia"/>
        </w:rPr>
      </w:pPr>
      <w:r>
        <w:rPr>
          <w:rFonts w:hint="eastAsia"/>
        </w:rPr>
        <w:t xml:space="preserve">in Mycobacterium tuberculosis. Mutation-specific primer sets were designed using </w:t>
      </w:r>
    </w:p>
    <w:p w14:paraId="3DBA4918">
      <w:pPr>
        <w:pStyle w:val="2"/>
        <w:rPr>
          <w:rFonts w:hint="eastAsia"/>
        </w:rPr>
      </w:pPr>
      <w:r>
        <w:rPr>
          <w:rFonts w:hint="eastAsia"/>
        </w:rPr>
        <w:t xml:space="preserve">mismatch amplification principles to achieve single-nucleotide specificity. </w:t>
      </w:r>
    </w:p>
    <w:p w14:paraId="7965F92A">
      <w:pPr>
        <w:pStyle w:val="2"/>
        <w:rPr>
          <w:rFonts w:hint="eastAsia"/>
        </w:rPr>
      </w:pPr>
      <w:r>
        <w:rPr>
          <w:rFonts w:hint="eastAsia"/>
        </w:rPr>
        <w:t xml:space="preserve">Amplification was performed at 61°C for 60 min, followed by visual detection on </w:t>
      </w:r>
    </w:p>
    <w:p w14:paraId="1E9B6519">
      <w:pPr>
        <w:pStyle w:val="2"/>
        <w:rPr>
          <w:rFonts w:hint="eastAsia"/>
        </w:rPr>
      </w:pPr>
      <w:r>
        <w:rPr>
          <w:rFonts w:hint="eastAsia"/>
        </w:rPr>
        <w:t xml:space="preserve">a three-line lateral flow strip within 5 min. The assay demonstrated a </w:t>
      </w:r>
    </w:p>
    <w:p w14:paraId="4654AA78">
      <w:pPr>
        <w:pStyle w:val="2"/>
        <w:rPr>
          <w:rFonts w:hint="eastAsia"/>
        </w:rPr>
      </w:pPr>
      <w:r>
        <w:rPr>
          <w:rFonts w:hint="eastAsia"/>
        </w:rPr>
        <w:t xml:space="preserve">preliminary detection threshold of approximately 10 CFU/mL equivalents and </w:t>
      </w:r>
    </w:p>
    <w:p w14:paraId="0B271518">
      <w:pPr>
        <w:pStyle w:val="2"/>
        <w:rPr>
          <w:rFonts w:hint="eastAsia"/>
        </w:rPr>
      </w:pPr>
      <w:r>
        <w:rPr>
          <w:rFonts w:hint="eastAsia"/>
        </w:rPr>
        <w:t xml:space="preserve">exhibited no cross-reactivity with wild-type M. tuberculosis H37Rv, </w:t>
      </w:r>
    </w:p>
    <w:p w14:paraId="26517690">
      <w:pPr>
        <w:pStyle w:val="2"/>
        <w:rPr>
          <w:rFonts w:hint="eastAsia"/>
        </w:rPr>
      </w:pPr>
      <w:r>
        <w:rPr>
          <w:rFonts w:hint="eastAsia"/>
        </w:rPr>
        <w:t xml:space="preserve">non-tuberculous mycobacteria, or non-target resistance-associated mutations, </w:t>
      </w:r>
    </w:p>
    <w:p w14:paraId="40BCCD9B">
      <w:pPr>
        <w:pStyle w:val="2"/>
        <w:rPr>
          <w:rFonts w:hint="eastAsia"/>
        </w:rPr>
      </w:pPr>
      <w:r>
        <w:rPr>
          <w:rFonts w:hint="eastAsia"/>
        </w:rPr>
        <w:t xml:space="preserve">including the inhA -15 promoter mutation and rpoB codon 526 variants. </w:t>
      </w:r>
    </w:p>
    <w:p w14:paraId="10BA86ED">
      <w:pPr>
        <w:pStyle w:val="2"/>
        <w:rPr>
          <w:rFonts w:hint="eastAsia"/>
        </w:rPr>
      </w:pPr>
      <w:r>
        <w:rPr>
          <w:rFonts w:hint="eastAsia"/>
        </w:rPr>
        <w:t xml:space="preserve">Preliminary clinical feasibility was evaluated using genetically characterized </w:t>
      </w:r>
    </w:p>
    <w:p w14:paraId="579AF011">
      <w:pPr>
        <w:pStyle w:val="2"/>
        <w:rPr>
          <w:rFonts w:hint="eastAsia"/>
        </w:rPr>
      </w:pPr>
      <w:r>
        <w:rPr>
          <w:rFonts w:hint="eastAsia"/>
        </w:rPr>
        <w:t xml:space="preserve">clinical sputum specimens and showed complete concordance with GenoType </w:t>
      </w:r>
    </w:p>
    <w:p w14:paraId="75C88CE0">
      <w:pPr>
        <w:pStyle w:val="2"/>
        <w:rPr>
          <w:rFonts w:hint="eastAsia"/>
        </w:rPr>
      </w:pPr>
      <w:r>
        <w:rPr>
          <w:rFonts w:hint="eastAsia"/>
        </w:rPr>
        <w:t xml:space="preserve">MTBDRplus and Sanger DNA sequencing results. Because the assay targets only two </w:t>
      </w:r>
    </w:p>
    <w:p w14:paraId="10AC224C">
      <w:pPr>
        <w:pStyle w:val="2"/>
        <w:rPr>
          <w:rFonts w:hint="eastAsia"/>
        </w:rPr>
      </w:pPr>
      <w:r>
        <w:rPr>
          <w:rFonts w:hint="eastAsia"/>
        </w:rPr>
        <w:t xml:space="preserve">resistance-associated mutations, a negative result does not exclude isoniazid or </w:t>
      </w:r>
    </w:p>
    <w:p w14:paraId="356546E4">
      <w:pPr>
        <w:pStyle w:val="2"/>
        <w:rPr>
          <w:rFonts w:hint="eastAsia"/>
        </w:rPr>
      </w:pPr>
      <w:r>
        <w:rPr>
          <w:rFonts w:hint="eastAsia"/>
        </w:rPr>
        <w:t>rifampicin resistance mediated by alternative mutations.</w:t>
      </w:r>
    </w:p>
    <w:p w14:paraId="05700E6A">
      <w:pPr>
        <w:pStyle w:val="2"/>
        <w:rPr>
          <w:rFonts w:hint="eastAsia"/>
        </w:rPr>
      </w:pPr>
      <w:r>
        <w:rPr>
          <w:rFonts w:hint="eastAsia"/>
        </w:rPr>
        <w:t xml:space="preserve">IMPORTANCE: These proof-of-concept findings demonstrate the initial feasibility </w:t>
      </w:r>
    </w:p>
    <w:p w14:paraId="0EC1E4DB">
      <w:pPr>
        <w:pStyle w:val="2"/>
        <w:rPr>
          <w:rFonts w:hint="eastAsia"/>
        </w:rPr>
      </w:pPr>
      <w:r>
        <w:rPr>
          <w:rFonts w:hint="eastAsia"/>
        </w:rPr>
        <w:t xml:space="preserve">of a rapid, low-complexity molecular platform for the simultaneous detection of </w:t>
      </w:r>
    </w:p>
    <w:p w14:paraId="4489B4B1">
      <w:pPr>
        <w:pStyle w:val="2"/>
        <w:rPr>
          <w:rFonts w:hint="eastAsia"/>
        </w:rPr>
      </w:pPr>
      <w:r>
        <w:rPr>
          <w:rFonts w:hint="eastAsia"/>
        </w:rPr>
        <w:t xml:space="preserve">clinically important resistance-associated mutations in Mycobacterium </w:t>
      </w:r>
    </w:p>
    <w:p w14:paraId="7C9E73A0">
      <w:pPr>
        <w:pStyle w:val="2"/>
        <w:rPr>
          <w:rFonts w:hint="eastAsia"/>
        </w:rPr>
      </w:pPr>
      <w:r>
        <w:rPr>
          <w:rFonts w:hint="eastAsia"/>
        </w:rPr>
        <w:t xml:space="preserve">tuberculosis. The assay represents a promising step toward low-complexity </w:t>
      </w:r>
    </w:p>
    <w:p w14:paraId="759505AC">
      <w:pPr>
        <w:pStyle w:val="2"/>
        <w:rPr>
          <w:rFonts w:hint="eastAsia"/>
        </w:rPr>
      </w:pPr>
      <w:r>
        <w:rPr>
          <w:rFonts w:hint="eastAsia"/>
        </w:rPr>
        <w:t xml:space="preserve">molecular screening for selected multidrug-resistant tuberculosis-associated </w:t>
      </w:r>
    </w:p>
    <w:p w14:paraId="19FB061D">
      <w:pPr>
        <w:pStyle w:val="2"/>
        <w:rPr>
          <w:rFonts w:hint="eastAsia"/>
        </w:rPr>
      </w:pPr>
      <w:r>
        <w:rPr>
          <w:rFonts w:hint="eastAsia"/>
        </w:rPr>
        <w:t xml:space="preserve">mutations, bringing us closer to simplified testing in settings where access to </w:t>
      </w:r>
    </w:p>
    <w:p w14:paraId="276DC5DC">
      <w:pPr>
        <w:pStyle w:val="2"/>
        <w:rPr>
          <w:rFonts w:hint="eastAsia"/>
        </w:rPr>
      </w:pPr>
      <w:r>
        <w:rPr>
          <w:rFonts w:hint="eastAsia"/>
        </w:rPr>
        <w:t>conventional molecular drug-resistance testing remains limited.</w:t>
      </w:r>
    </w:p>
    <w:p w14:paraId="60B28989">
      <w:pPr>
        <w:pStyle w:val="2"/>
        <w:rPr>
          <w:rFonts w:hint="eastAsia"/>
        </w:rPr>
      </w:pPr>
    </w:p>
    <w:p w14:paraId="77838125">
      <w:pPr>
        <w:pStyle w:val="2"/>
        <w:rPr>
          <w:rFonts w:hint="eastAsia"/>
        </w:rPr>
      </w:pPr>
      <w:r>
        <w:rPr>
          <w:rFonts w:hint="eastAsia"/>
        </w:rPr>
        <w:t>DOI: 10.1128/spectrum.02195-26</w:t>
      </w:r>
    </w:p>
    <w:p w14:paraId="217BAE2D">
      <w:pPr>
        <w:pStyle w:val="2"/>
        <w:rPr>
          <w:rFonts w:hint="eastAsia"/>
        </w:rPr>
      </w:pPr>
      <w:r>
        <w:rPr>
          <w:rFonts w:hint="eastAsia"/>
        </w:rPr>
        <w:t>PMID: 42847690</w:t>
      </w:r>
    </w:p>
    <w:p w14:paraId="151195D1">
      <w:pPr>
        <w:pStyle w:val="2"/>
        <w:rPr>
          <w:rFonts w:hint="eastAsia"/>
        </w:rPr>
      </w:pPr>
    </w:p>
    <w:p w14:paraId="40C2C682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3</w:t>
      </w:r>
      <w:r>
        <w:rPr>
          <w:rFonts w:hint="eastAsia"/>
          <w:b/>
          <w:bCs/>
          <w:color w:val="FF0000"/>
          <w:lang w:val="en-US" w:eastAsia="zh-CN"/>
        </w:rPr>
        <w:t>2</w:t>
      </w:r>
      <w:r>
        <w:rPr>
          <w:rFonts w:hint="eastAsia"/>
          <w:b/>
          <w:bCs/>
          <w:color w:val="FF0000"/>
        </w:rPr>
        <w:t>. Intern Med J. 2026 Oct 7. doi: 10.1111/imj.70659. Online ahead of print.</w:t>
      </w:r>
    </w:p>
    <w:p w14:paraId="6B3A0739">
      <w:pPr>
        <w:pStyle w:val="2"/>
        <w:rPr>
          <w:rFonts w:hint="eastAsia"/>
        </w:rPr>
      </w:pPr>
    </w:p>
    <w:p w14:paraId="3E0DB564">
      <w:pPr>
        <w:pStyle w:val="2"/>
        <w:rPr>
          <w:rFonts w:hint="eastAsia"/>
        </w:rPr>
      </w:pPr>
      <w:r>
        <w:rPr>
          <w:rFonts w:hint="eastAsia"/>
        </w:rPr>
        <w:t xml:space="preserve">Diagnostic uncertainty in presumed stricturing Crohn disease: peritoneal </w:t>
      </w:r>
    </w:p>
    <w:p w14:paraId="57527F99">
      <w:pPr>
        <w:pStyle w:val="2"/>
        <w:rPr>
          <w:rFonts w:hint="eastAsia"/>
        </w:rPr>
      </w:pPr>
      <w:r>
        <w:rPr>
          <w:rFonts w:hint="eastAsia"/>
        </w:rPr>
        <w:t>tuberculosis presenting with caecal perforation.</w:t>
      </w:r>
    </w:p>
    <w:p w14:paraId="679313D2">
      <w:pPr>
        <w:pStyle w:val="2"/>
        <w:rPr>
          <w:rFonts w:hint="eastAsia"/>
        </w:rPr>
      </w:pPr>
    </w:p>
    <w:p w14:paraId="625555CB">
      <w:pPr>
        <w:pStyle w:val="2"/>
        <w:rPr>
          <w:rFonts w:hint="eastAsia"/>
        </w:rPr>
      </w:pPr>
      <w:r>
        <w:rPr>
          <w:rFonts w:hint="eastAsia"/>
        </w:rPr>
        <w:t xml:space="preserve">Gondal F(1), Abasszade JH(1), Burns M(1), Lockie E(2), Flood M(2), McCormick </w:t>
      </w:r>
    </w:p>
    <w:p w14:paraId="01CCCABA">
      <w:pPr>
        <w:pStyle w:val="2"/>
        <w:rPr>
          <w:rFonts w:hint="eastAsia"/>
        </w:rPr>
      </w:pPr>
      <w:r>
        <w:rPr>
          <w:rFonts w:hint="eastAsia"/>
        </w:rPr>
        <w:t>J(2), Philip L(3), McCarthy J(3), Rajan N(4), Bhala N(1)(5), Macrae F(1)(5).</w:t>
      </w:r>
    </w:p>
    <w:p w14:paraId="241DDA7C">
      <w:pPr>
        <w:pStyle w:val="2"/>
        <w:rPr>
          <w:rFonts w:hint="eastAsia"/>
        </w:rPr>
      </w:pPr>
    </w:p>
    <w:p w14:paraId="7C689F98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710A32F9">
      <w:pPr>
        <w:pStyle w:val="2"/>
        <w:rPr>
          <w:rFonts w:hint="eastAsia"/>
        </w:rPr>
      </w:pPr>
      <w:r>
        <w:rPr>
          <w:rFonts w:hint="eastAsia"/>
        </w:rPr>
        <w:t xml:space="preserve">(1)Department of Gastroenterology, The Royal Melbourne Hospital, Melbourne, </w:t>
      </w:r>
    </w:p>
    <w:p w14:paraId="18F523C1">
      <w:pPr>
        <w:pStyle w:val="2"/>
        <w:rPr>
          <w:rFonts w:hint="eastAsia"/>
        </w:rPr>
      </w:pPr>
      <w:r>
        <w:rPr>
          <w:rFonts w:hint="eastAsia"/>
        </w:rPr>
        <w:t>Victoria, Australia.</w:t>
      </w:r>
    </w:p>
    <w:p w14:paraId="706C5C21">
      <w:pPr>
        <w:pStyle w:val="2"/>
        <w:rPr>
          <w:rFonts w:hint="eastAsia"/>
        </w:rPr>
      </w:pPr>
      <w:r>
        <w:rPr>
          <w:rFonts w:hint="eastAsia"/>
        </w:rPr>
        <w:t xml:space="preserve">(2)Department of General Surgery, The Royal Melbourne Hospital, Melbourne, </w:t>
      </w:r>
    </w:p>
    <w:p w14:paraId="7638A3E7">
      <w:pPr>
        <w:pStyle w:val="2"/>
        <w:rPr>
          <w:rFonts w:hint="eastAsia"/>
        </w:rPr>
      </w:pPr>
      <w:r>
        <w:rPr>
          <w:rFonts w:hint="eastAsia"/>
        </w:rPr>
        <w:t>Victoria, Australia.</w:t>
      </w:r>
    </w:p>
    <w:p w14:paraId="3D52F3CF">
      <w:pPr>
        <w:pStyle w:val="2"/>
        <w:rPr>
          <w:rFonts w:hint="eastAsia"/>
        </w:rPr>
      </w:pPr>
      <w:r>
        <w:rPr>
          <w:rFonts w:hint="eastAsia"/>
        </w:rPr>
        <w:t xml:space="preserve">(3)Victorian Infectious Diseases Service, The Royal Melbourne Hospital, </w:t>
      </w:r>
    </w:p>
    <w:p w14:paraId="6129297A">
      <w:pPr>
        <w:pStyle w:val="2"/>
        <w:rPr>
          <w:rFonts w:hint="eastAsia"/>
        </w:rPr>
      </w:pPr>
      <w:r>
        <w:rPr>
          <w:rFonts w:hint="eastAsia"/>
        </w:rPr>
        <w:t>Melbourne, Victoria, Australia.</w:t>
      </w:r>
    </w:p>
    <w:p w14:paraId="18D5BFDD">
      <w:pPr>
        <w:pStyle w:val="2"/>
        <w:rPr>
          <w:rFonts w:hint="eastAsia"/>
        </w:rPr>
      </w:pPr>
      <w:r>
        <w:rPr>
          <w:rFonts w:hint="eastAsia"/>
        </w:rPr>
        <w:t xml:space="preserve">(4)Department of Pathology, The Royal Melbourne Hospital, Melbourne, Victoria, </w:t>
      </w:r>
    </w:p>
    <w:p w14:paraId="3DD8400A">
      <w:pPr>
        <w:pStyle w:val="2"/>
        <w:rPr>
          <w:rFonts w:hint="eastAsia"/>
        </w:rPr>
      </w:pPr>
      <w:r>
        <w:rPr>
          <w:rFonts w:hint="eastAsia"/>
        </w:rPr>
        <w:t>Australia.</w:t>
      </w:r>
    </w:p>
    <w:p w14:paraId="4D86EB2D">
      <w:pPr>
        <w:pStyle w:val="2"/>
        <w:rPr>
          <w:rFonts w:hint="eastAsia"/>
        </w:rPr>
      </w:pPr>
      <w:r>
        <w:rPr>
          <w:rFonts w:hint="eastAsia"/>
        </w:rPr>
        <w:t xml:space="preserve">(5)School of Medicine, The University of Melbourne, Melbourne, Victoria, </w:t>
      </w:r>
    </w:p>
    <w:p w14:paraId="210606B8">
      <w:pPr>
        <w:pStyle w:val="2"/>
        <w:rPr>
          <w:rFonts w:hint="eastAsia"/>
        </w:rPr>
      </w:pPr>
      <w:r>
        <w:rPr>
          <w:rFonts w:hint="eastAsia"/>
        </w:rPr>
        <w:t>Australia.</w:t>
      </w:r>
    </w:p>
    <w:p w14:paraId="79AC7BC1">
      <w:pPr>
        <w:pStyle w:val="2"/>
        <w:rPr>
          <w:rFonts w:hint="eastAsia"/>
        </w:rPr>
      </w:pPr>
    </w:p>
    <w:p w14:paraId="0AA1597D">
      <w:pPr>
        <w:pStyle w:val="2"/>
        <w:rPr>
          <w:rFonts w:hint="eastAsia"/>
        </w:rPr>
      </w:pPr>
      <w:r>
        <w:rPr>
          <w:rFonts w:hint="eastAsia"/>
        </w:rPr>
        <w:t>DOI: 10.1111/imj.70659</w:t>
      </w:r>
    </w:p>
    <w:p w14:paraId="5EEE18C9">
      <w:pPr>
        <w:pStyle w:val="2"/>
        <w:rPr>
          <w:rFonts w:hint="eastAsia"/>
        </w:rPr>
      </w:pPr>
      <w:r>
        <w:rPr>
          <w:rFonts w:hint="eastAsia"/>
        </w:rPr>
        <w:t>PMID: 42844535</w:t>
      </w:r>
    </w:p>
    <w:p w14:paraId="2435AF69">
      <w:pPr>
        <w:pStyle w:val="2"/>
        <w:rPr>
          <w:rFonts w:hint="eastAsia"/>
        </w:rPr>
      </w:pPr>
    </w:p>
    <w:p w14:paraId="5B8B85EE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3</w:t>
      </w:r>
      <w:r>
        <w:rPr>
          <w:rFonts w:hint="eastAsia"/>
          <w:b/>
          <w:bCs/>
          <w:color w:val="FF0000"/>
          <w:lang w:val="en-US" w:eastAsia="zh-CN"/>
        </w:rPr>
        <w:t>3</w:t>
      </w:r>
      <w:r>
        <w:rPr>
          <w:rFonts w:hint="eastAsia"/>
          <w:b/>
          <w:bCs/>
          <w:color w:val="FF0000"/>
        </w:rPr>
        <w:t xml:space="preserve">. Bioorg Med Chem Lett. 2026 Oct 7;142:130793. doi: 10.1016/j.bmcl.2026.130793. </w:t>
      </w:r>
    </w:p>
    <w:p w14:paraId="2D6D4673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Online ahead of print.</w:t>
      </w:r>
    </w:p>
    <w:p w14:paraId="51F659D0">
      <w:pPr>
        <w:pStyle w:val="2"/>
        <w:rPr>
          <w:rFonts w:hint="eastAsia"/>
        </w:rPr>
      </w:pPr>
    </w:p>
    <w:p w14:paraId="2F984A16">
      <w:pPr>
        <w:pStyle w:val="2"/>
        <w:rPr>
          <w:rFonts w:hint="eastAsia"/>
        </w:rPr>
      </w:pPr>
      <w:r>
        <w:rPr>
          <w:rFonts w:hint="eastAsia"/>
        </w:rPr>
        <w:t xml:space="preserve">Structure activity relationship studies of alkynyl 6-nitroquinoxalines as </w:t>
      </w:r>
    </w:p>
    <w:p w14:paraId="73DC779C">
      <w:pPr>
        <w:pStyle w:val="2"/>
        <w:rPr>
          <w:rFonts w:hint="eastAsia"/>
        </w:rPr>
      </w:pPr>
      <w:r>
        <w:rPr>
          <w:rFonts w:hint="eastAsia"/>
        </w:rPr>
        <w:t>potential anti-tuberculosis agents.</w:t>
      </w:r>
    </w:p>
    <w:p w14:paraId="0F44C926">
      <w:pPr>
        <w:pStyle w:val="2"/>
        <w:rPr>
          <w:rFonts w:hint="eastAsia"/>
        </w:rPr>
      </w:pPr>
    </w:p>
    <w:p w14:paraId="2B560A16">
      <w:pPr>
        <w:pStyle w:val="2"/>
        <w:rPr>
          <w:rFonts w:hint="eastAsia"/>
        </w:rPr>
      </w:pPr>
      <w:r>
        <w:rPr>
          <w:rFonts w:hint="eastAsia"/>
        </w:rPr>
        <w:t>Maluleke BK(1), Agbo EN(2), Oderinlo OO(2), Nxumalo W(2).</w:t>
      </w:r>
    </w:p>
    <w:p w14:paraId="179774D4">
      <w:pPr>
        <w:pStyle w:val="2"/>
        <w:rPr>
          <w:rFonts w:hint="eastAsia"/>
        </w:rPr>
      </w:pPr>
    </w:p>
    <w:p w14:paraId="1DFA5675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1BC6AB5C">
      <w:pPr>
        <w:pStyle w:val="2"/>
        <w:rPr>
          <w:rFonts w:hint="eastAsia"/>
        </w:rPr>
      </w:pPr>
      <w:r>
        <w:rPr>
          <w:rFonts w:hint="eastAsia"/>
        </w:rPr>
        <w:t xml:space="preserve">(1)Department of Chemistry, Faculty of Science and Agriculture, University of </w:t>
      </w:r>
    </w:p>
    <w:p w14:paraId="343741BA">
      <w:pPr>
        <w:pStyle w:val="2"/>
        <w:rPr>
          <w:rFonts w:hint="eastAsia"/>
        </w:rPr>
      </w:pPr>
      <w:r>
        <w:rPr>
          <w:rFonts w:hint="eastAsia"/>
        </w:rPr>
        <w:t xml:space="preserve">Limpopo, Private Bag X1106, Sovenga 0727, South Africa. Electronic address: </w:t>
      </w:r>
    </w:p>
    <w:p w14:paraId="2EC2E2C0">
      <w:pPr>
        <w:pStyle w:val="2"/>
        <w:rPr>
          <w:rFonts w:hint="eastAsia"/>
        </w:rPr>
      </w:pPr>
      <w:r>
        <w:rPr>
          <w:rFonts w:hint="eastAsia"/>
        </w:rPr>
        <w:t>blesant.maluleke@ul.ac.za.</w:t>
      </w:r>
    </w:p>
    <w:p w14:paraId="7495576A">
      <w:pPr>
        <w:pStyle w:val="2"/>
        <w:rPr>
          <w:rFonts w:hint="eastAsia"/>
        </w:rPr>
      </w:pPr>
      <w:r>
        <w:rPr>
          <w:rFonts w:hint="eastAsia"/>
        </w:rPr>
        <w:t xml:space="preserve">(2)Department of Chemistry, Faculty of Science and Agriculture, University of </w:t>
      </w:r>
    </w:p>
    <w:p w14:paraId="4098D832">
      <w:pPr>
        <w:pStyle w:val="2"/>
        <w:rPr>
          <w:rFonts w:hint="eastAsia"/>
        </w:rPr>
      </w:pPr>
      <w:r>
        <w:rPr>
          <w:rFonts w:hint="eastAsia"/>
        </w:rPr>
        <w:t>Limpopo, Private Bag X1106, Sovenga 0727, South Africa.</w:t>
      </w:r>
    </w:p>
    <w:p w14:paraId="7DB6816D">
      <w:pPr>
        <w:pStyle w:val="2"/>
        <w:rPr>
          <w:rFonts w:hint="eastAsia"/>
        </w:rPr>
      </w:pPr>
    </w:p>
    <w:p w14:paraId="582EEE63">
      <w:pPr>
        <w:pStyle w:val="2"/>
        <w:rPr>
          <w:rFonts w:hint="eastAsia"/>
        </w:rPr>
      </w:pPr>
      <w:r>
        <w:rPr>
          <w:rFonts w:hint="eastAsia"/>
        </w:rPr>
        <w:t xml:space="preserve">In this study, a series of quinoxaline derivatives were designed and evaluated </w:t>
      </w:r>
    </w:p>
    <w:p w14:paraId="2E274F4B">
      <w:pPr>
        <w:pStyle w:val="2"/>
        <w:rPr>
          <w:rFonts w:hint="eastAsia"/>
        </w:rPr>
      </w:pPr>
      <w:r>
        <w:rPr>
          <w:rFonts w:hint="eastAsia"/>
        </w:rPr>
        <w:t xml:space="preserve">for activity against Mycobacterium tuberculosis (H37Rv strain). Several </w:t>
      </w:r>
    </w:p>
    <w:p w14:paraId="01E6D49F">
      <w:pPr>
        <w:pStyle w:val="2"/>
        <w:rPr>
          <w:rFonts w:hint="eastAsia"/>
        </w:rPr>
      </w:pPr>
      <w:r>
        <w:rPr>
          <w:rFonts w:hint="eastAsia"/>
        </w:rPr>
        <w:t xml:space="preserve">compounds displayed promising antimycobacterial activity, with multiple </w:t>
      </w:r>
    </w:p>
    <w:p w14:paraId="2FB006F3">
      <w:pPr>
        <w:pStyle w:val="2"/>
        <w:rPr>
          <w:rFonts w:hint="eastAsia"/>
        </w:rPr>
      </w:pPr>
      <w:r>
        <w:rPr>
          <w:rFonts w:hint="eastAsia"/>
        </w:rPr>
        <w:t xml:space="preserve">derivatives showing minimum inhibitory concentration (MIC90) values in the low </w:t>
      </w:r>
    </w:p>
    <w:p w14:paraId="11088860">
      <w:pPr>
        <w:pStyle w:val="2"/>
        <w:rPr>
          <w:rFonts w:hint="eastAsia"/>
        </w:rPr>
      </w:pPr>
      <w:r>
        <w:rPr>
          <w:rFonts w:hint="eastAsia"/>
        </w:rPr>
        <w:t xml:space="preserve">micromolar (&lt;10 μM) range. Among these, compounds 4d and 3b were the most active </w:t>
      </w:r>
    </w:p>
    <w:p w14:paraId="58D62B21">
      <w:pPr>
        <w:pStyle w:val="2"/>
        <w:rPr>
          <w:rFonts w:hint="eastAsia"/>
        </w:rPr>
      </w:pPr>
      <w:r>
        <w:rPr>
          <w:rFonts w:hint="eastAsia"/>
        </w:rPr>
        <w:t xml:space="preserve">in the series, with MIC values of 0.97 μM and 0.94 μM, respectively. Structure </w:t>
      </w:r>
    </w:p>
    <w:p w14:paraId="14F8F0B2">
      <w:pPr>
        <w:pStyle w:val="2"/>
        <w:rPr>
          <w:rFonts w:hint="eastAsia"/>
        </w:rPr>
      </w:pPr>
      <w:r>
        <w:rPr>
          <w:rFonts w:hint="eastAsia"/>
        </w:rPr>
        <w:t xml:space="preserve">activity relationship (SAR) analysis revealed that the 6-nitroquinoxaline core </w:t>
      </w:r>
    </w:p>
    <w:p w14:paraId="107D83E2">
      <w:pPr>
        <w:pStyle w:val="2"/>
        <w:rPr>
          <w:rFonts w:hint="eastAsia"/>
        </w:rPr>
      </w:pPr>
      <w:r>
        <w:rPr>
          <w:rFonts w:hint="eastAsia"/>
        </w:rPr>
        <w:t xml:space="preserve">is essential for activity, while the alkynyl linker plays a critical role in </w:t>
      </w:r>
    </w:p>
    <w:p w14:paraId="501D6FFE">
      <w:pPr>
        <w:pStyle w:val="2"/>
        <w:rPr>
          <w:rFonts w:hint="eastAsia"/>
        </w:rPr>
      </w:pPr>
      <w:r>
        <w:rPr>
          <w:rFonts w:hint="eastAsia"/>
        </w:rPr>
        <w:t xml:space="preserve">maintaining antimycobacterial potency. The presence and positioning of a </w:t>
      </w:r>
    </w:p>
    <w:p w14:paraId="06A6FC07">
      <w:pPr>
        <w:pStyle w:val="2"/>
        <w:rPr>
          <w:rFonts w:hint="eastAsia"/>
        </w:rPr>
      </w:pPr>
      <w:r>
        <w:rPr>
          <w:rFonts w:hint="eastAsia"/>
        </w:rPr>
        <w:t xml:space="preserve">hydroxyl group on the alkynyl side chain influenced activity, with tertiary </w:t>
      </w:r>
    </w:p>
    <w:p w14:paraId="0525B3A9">
      <w:pPr>
        <w:pStyle w:val="2"/>
        <w:rPr>
          <w:rFonts w:hint="eastAsia"/>
        </w:rPr>
      </w:pPr>
      <w:r>
        <w:rPr>
          <w:rFonts w:hint="eastAsia"/>
        </w:rPr>
        <w:t xml:space="preserve">alcohol derivatives generally providing improved potency. Among the synthesized </w:t>
      </w:r>
    </w:p>
    <w:p w14:paraId="0616BE73">
      <w:pPr>
        <w:pStyle w:val="2"/>
        <w:rPr>
          <w:rFonts w:hint="eastAsia"/>
        </w:rPr>
      </w:pPr>
      <w:r>
        <w:rPr>
          <w:rFonts w:hint="eastAsia"/>
        </w:rPr>
        <w:t xml:space="preserve">compounds, compound 4h exhibited a comparatively favorable in vitro selectivity </w:t>
      </w:r>
    </w:p>
    <w:p w14:paraId="3AD7C1BD">
      <w:pPr>
        <w:pStyle w:val="2"/>
        <w:rPr>
          <w:rFonts w:hint="eastAsia"/>
        </w:rPr>
      </w:pPr>
      <w:r>
        <w:rPr>
          <w:rFonts w:hint="eastAsia"/>
        </w:rPr>
        <w:t xml:space="preserve">index but was limited by low aqueous solubility. These findings highlight key </w:t>
      </w:r>
    </w:p>
    <w:p w14:paraId="15BD6A3C">
      <w:pPr>
        <w:pStyle w:val="2"/>
        <w:rPr>
          <w:rFonts w:hint="eastAsia"/>
        </w:rPr>
      </w:pPr>
      <w:r>
        <w:rPr>
          <w:rFonts w:hint="eastAsia"/>
        </w:rPr>
        <w:t xml:space="preserve">structural characteristics within this scaffold and offer valuable insight for </w:t>
      </w:r>
    </w:p>
    <w:p w14:paraId="73236AA1">
      <w:pPr>
        <w:pStyle w:val="2"/>
        <w:rPr>
          <w:rFonts w:hint="eastAsia"/>
        </w:rPr>
      </w:pPr>
      <w:r>
        <w:rPr>
          <w:rFonts w:hint="eastAsia"/>
        </w:rPr>
        <w:t>the further optimization of quinoxaline-based anti-tuberculosis agents.</w:t>
      </w:r>
    </w:p>
    <w:p w14:paraId="5EFC0B1C">
      <w:pPr>
        <w:pStyle w:val="2"/>
        <w:rPr>
          <w:rFonts w:hint="eastAsia"/>
        </w:rPr>
      </w:pPr>
    </w:p>
    <w:p w14:paraId="75354317">
      <w:pPr>
        <w:pStyle w:val="2"/>
        <w:rPr>
          <w:rFonts w:hint="eastAsia"/>
        </w:rPr>
      </w:pPr>
      <w:r>
        <w:rPr>
          <w:rFonts w:hint="eastAsia"/>
        </w:rPr>
        <w:t>Copyright © 2026 The Authors. Published by Elsevier Ltd.. All rights reserved.</w:t>
      </w:r>
    </w:p>
    <w:p w14:paraId="736C96AF">
      <w:pPr>
        <w:pStyle w:val="2"/>
        <w:rPr>
          <w:rFonts w:hint="eastAsia"/>
        </w:rPr>
      </w:pPr>
    </w:p>
    <w:p w14:paraId="4C1AD4D9">
      <w:pPr>
        <w:pStyle w:val="2"/>
        <w:rPr>
          <w:rFonts w:hint="eastAsia"/>
        </w:rPr>
      </w:pPr>
      <w:r>
        <w:rPr>
          <w:rFonts w:hint="eastAsia"/>
        </w:rPr>
        <w:t>DOI: 10.1016/j.bmcl.2026.130793</w:t>
      </w:r>
    </w:p>
    <w:p w14:paraId="4974F7DE">
      <w:pPr>
        <w:pStyle w:val="2"/>
        <w:rPr>
          <w:rFonts w:hint="eastAsia"/>
        </w:rPr>
      </w:pPr>
      <w:r>
        <w:rPr>
          <w:rFonts w:hint="eastAsia"/>
        </w:rPr>
        <w:t>PMID: 42843656</w:t>
      </w:r>
    </w:p>
    <w:p w14:paraId="5849205E">
      <w:pPr>
        <w:pStyle w:val="2"/>
        <w:rPr>
          <w:rFonts w:hint="eastAsia"/>
        </w:rPr>
      </w:pPr>
    </w:p>
    <w:p w14:paraId="4C4592FD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3</w:t>
      </w:r>
      <w:r>
        <w:rPr>
          <w:rFonts w:hint="eastAsia"/>
          <w:b/>
          <w:bCs/>
          <w:color w:val="FF0000"/>
          <w:lang w:val="en-US" w:eastAsia="zh-CN"/>
        </w:rPr>
        <w:t>4</w:t>
      </w:r>
      <w:r>
        <w:rPr>
          <w:rFonts w:hint="eastAsia"/>
          <w:b/>
          <w:bCs/>
          <w:color w:val="FF0000"/>
        </w:rPr>
        <w:t>. Prev Med. 2026 Oct 7:108677. doi: 10.1016/j.ypmed.2026.108677. Online ahead of print.</w:t>
      </w:r>
    </w:p>
    <w:p w14:paraId="564FE686">
      <w:pPr>
        <w:pStyle w:val="2"/>
        <w:rPr>
          <w:rFonts w:hint="eastAsia"/>
        </w:rPr>
      </w:pPr>
    </w:p>
    <w:p w14:paraId="0F3066D1">
      <w:pPr>
        <w:pStyle w:val="2"/>
        <w:rPr>
          <w:rFonts w:hint="eastAsia"/>
        </w:rPr>
      </w:pPr>
      <w:r>
        <w:rPr>
          <w:rFonts w:hint="eastAsia"/>
        </w:rPr>
        <w:t xml:space="preserve">Rethinking tuberculosis and human immunodeficiency virus as a syndemic: </w:t>
      </w:r>
    </w:p>
    <w:p w14:paraId="1A1AB911">
      <w:pPr>
        <w:pStyle w:val="2"/>
        <w:rPr>
          <w:rFonts w:hint="eastAsia"/>
        </w:rPr>
      </w:pPr>
      <w:r>
        <w:rPr>
          <w:rFonts w:hint="eastAsia"/>
        </w:rPr>
        <w:t>Implications for global prevention and care.</w:t>
      </w:r>
    </w:p>
    <w:p w14:paraId="62D40FB1">
      <w:pPr>
        <w:pStyle w:val="2"/>
        <w:rPr>
          <w:rFonts w:hint="eastAsia"/>
        </w:rPr>
      </w:pPr>
    </w:p>
    <w:p w14:paraId="4CE0D0EF">
      <w:pPr>
        <w:pStyle w:val="2"/>
        <w:rPr>
          <w:rFonts w:hint="eastAsia"/>
        </w:rPr>
      </w:pPr>
      <w:r>
        <w:rPr>
          <w:rFonts w:hint="eastAsia"/>
        </w:rPr>
        <w:t>Mandal RK(1), Kumar R(1), Kurmi BD(2), Kaur K(2), Sharma A(3).</w:t>
      </w:r>
    </w:p>
    <w:p w14:paraId="033D1E2F">
      <w:pPr>
        <w:pStyle w:val="2"/>
        <w:rPr>
          <w:rFonts w:hint="eastAsia"/>
        </w:rPr>
      </w:pPr>
    </w:p>
    <w:p w14:paraId="5CFB1EFC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2227DC2C">
      <w:pPr>
        <w:pStyle w:val="2"/>
        <w:rPr>
          <w:rFonts w:hint="eastAsia"/>
        </w:rPr>
      </w:pPr>
      <w:r>
        <w:rPr>
          <w:rFonts w:hint="eastAsia"/>
        </w:rPr>
        <w:t xml:space="preserve">(1)I.S.F. College of Pharmacy (An Autonomous College), Moga, GT Road, Punjab </w:t>
      </w:r>
    </w:p>
    <w:p w14:paraId="2948EC7C">
      <w:pPr>
        <w:pStyle w:val="2"/>
        <w:rPr>
          <w:rFonts w:hint="eastAsia"/>
        </w:rPr>
      </w:pPr>
      <w:r>
        <w:rPr>
          <w:rFonts w:hint="eastAsia"/>
        </w:rPr>
        <w:t>142001, India.</w:t>
      </w:r>
    </w:p>
    <w:p w14:paraId="0C035444">
      <w:pPr>
        <w:pStyle w:val="2"/>
        <w:rPr>
          <w:rFonts w:hint="eastAsia"/>
        </w:rPr>
      </w:pPr>
      <w:r>
        <w:rPr>
          <w:rFonts w:hint="eastAsia"/>
        </w:rPr>
        <w:t xml:space="preserve">(2)Department of Pharmaceutics, I.S.F. College of Pharmacy (An Autonomous </w:t>
      </w:r>
    </w:p>
    <w:p w14:paraId="6138FC4F">
      <w:pPr>
        <w:pStyle w:val="2"/>
        <w:rPr>
          <w:rFonts w:hint="eastAsia"/>
        </w:rPr>
      </w:pPr>
      <w:r>
        <w:rPr>
          <w:rFonts w:hint="eastAsia"/>
        </w:rPr>
        <w:t>College), Moga, Punjab 142001, India.</w:t>
      </w:r>
    </w:p>
    <w:p w14:paraId="162755AF">
      <w:pPr>
        <w:pStyle w:val="2"/>
        <w:rPr>
          <w:rFonts w:hint="eastAsia"/>
        </w:rPr>
      </w:pPr>
      <w:r>
        <w:rPr>
          <w:rFonts w:hint="eastAsia"/>
        </w:rPr>
        <w:t xml:space="preserve">(3)Department of Pharmaceutics, I.S.F. College of Pharmacy (An Autonomous </w:t>
      </w:r>
    </w:p>
    <w:p w14:paraId="69E9E3B1">
      <w:pPr>
        <w:pStyle w:val="2"/>
        <w:rPr>
          <w:rFonts w:hint="eastAsia"/>
        </w:rPr>
      </w:pPr>
      <w:r>
        <w:rPr>
          <w:rFonts w:hint="eastAsia"/>
        </w:rPr>
        <w:t xml:space="preserve">College), Moga, Punjab 142001, India; I.K. Gujral Punjab Technical University, </w:t>
      </w:r>
    </w:p>
    <w:p w14:paraId="57EB048B">
      <w:pPr>
        <w:pStyle w:val="2"/>
        <w:rPr>
          <w:rFonts w:hint="eastAsia"/>
        </w:rPr>
      </w:pPr>
      <w:r>
        <w:rPr>
          <w:rFonts w:hint="eastAsia"/>
        </w:rPr>
        <w:t xml:space="preserve">Kapurthala, Punjab 144603, India. Electronic address: </w:t>
      </w:r>
    </w:p>
    <w:p w14:paraId="16E48CE7">
      <w:pPr>
        <w:pStyle w:val="2"/>
        <w:rPr>
          <w:rFonts w:hint="eastAsia"/>
        </w:rPr>
      </w:pPr>
      <w:r>
        <w:rPr>
          <w:rFonts w:hint="eastAsia"/>
        </w:rPr>
        <w:t>sharma.amit.9597@gmail.com.</w:t>
      </w:r>
    </w:p>
    <w:p w14:paraId="1B56E782">
      <w:pPr>
        <w:pStyle w:val="2"/>
        <w:rPr>
          <w:rFonts w:hint="eastAsia"/>
        </w:rPr>
      </w:pPr>
    </w:p>
    <w:p w14:paraId="179A592E">
      <w:pPr>
        <w:pStyle w:val="2"/>
        <w:rPr>
          <w:rFonts w:hint="eastAsia"/>
        </w:rPr>
      </w:pPr>
      <w:r>
        <w:rPr>
          <w:rFonts w:hint="eastAsia"/>
        </w:rPr>
        <w:t xml:space="preserve">Tuberculosis remains the leading infectious cause of death among people living </w:t>
      </w:r>
    </w:p>
    <w:p w14:paraId="18F0898E">
      <w:pPr>
        <w:pStyle w:val="2"/>
        <w:rPr>
          <w:rFonts w:hint="eastAsia"/>
        </w:rPr>
      </w:pPr>
      <w:r>
        <w:rPr>
          <w:rFonts w:hint="eastAsia"/>
        </w:rPr>
        <w:t xml:space="preserve">with human immunodeficiency virus (HIV). An estimated 10.7 million people </w:t>
      </w:r>
    </w:p>
    <w:p w14:paraId="75B13E0C">
      <w:pPr>
        <w:pStyle w:val="2"/>
        <w:rPr>
          <w:rFonts w:hint="eastAsia"/>
        </w:rPr>
      </w:pPr>
      <w:r>
        <w:rPr>
          <w:rFonts w:hint="eastAsia"/>
        </w:rPr>
        <w:t xml:space="preserve">developed tuberculosis worldwide in 2024, including 619,000 people living with </w:t>
      </w:r>
    </w:p>
    <w:p w14:paraId="236C301F">
      <w:pPr>
        <w:pStyle w:val="2"/>
        <w:rPr>
          <w:rFonts w:hint="eastAsia"/>
        </w:rPr>
      </w:pPr>
      <w:r>
        <w:rPr>
          <w:rFonts w:hint="eastAsia"/>
        </w:rPr>
        <w:t xml:space="preserve">HIV, while tuberculosis caused an estimated 150,000 deaths among people living </w:t>
      </w:r>
    </w:p>
    <w:p w14:paraId="3E3E1B78">
      <w:pPr>
        <w:pStyle w:val="2"/>
        <w:rPr>
          <w:rFonts w:hint="eastAsia"/>
        </w:rPr>
      </w:pPr>
      <w:r>
        <w:rPr>
          <w:rFonts w:hint="eastAsia"/>
        </w:rPr>
        <w:t xml:space="preserve">with HIV. The two epidemics are better understood as a syndemic than as a </w:t>
      </w:r>
    </w:p>
    <w:p w14:paraId="2F6317B9">
      <w:pPr>
        <w:pStyle w:val="2"/>
        <w:rPr>
          <w:rFonts w:hint="eastAsia"/>
        </w:rPr>
      </w:pPr>
      <w:r>
        <w:rPr>
          <w:rFonts w:hint="eastAsia"/>
        </w:rPr>
        <w:t xml:space="preserve">co-infection because they concentrate in the same populations, interact </w:t>
      </w:r>
    </w:p>
    <w:p w14:paraId="670201C9">
      <w:pPr>
        <w:pStyle w:val="2"/>
        <w:rPr>
          <w:rFonts w:hint="eastAsia"/>
        </w:rPr>
      </w:pPr>
      <w:r>
        <w:rPr>
          <w:rFonts w:hint="eastAsia"/>
        </w:rPr>
        <w:t xml:space="preserve">biologically, and share adverse social conditions. Evidence indicates that </w:t>
      </w:r>
    </w:p>
    <w:p w14:paraId="0C731B12">
      <w:pPr>
        <w:pStyle w:val="2"/>
        <w:rPr>
          <w:rFonts w:hint="eastAsia"/>
        </w:rPr>
      </w:pPr>
      <w:r>
        <w:rPr>
          <w:rFonts w:hint="eastAsia"/>
        </w:rPr>
        <w:t xml:space="preserve">integrating tuberculosis and HIV services shortens the time to antiretroviral </w:t>
      </w:r>
    </w:p>
    <w:p w14:paraId="0BBF27F4">
      <w:pPr>
        <w:pStyle w:val="2"/>
        <w:rPr>
          <w:rFonts w:hint="eastAsia"/>
        </w:rPr>
      </w:pPr>
      <w:r>
        <w:rPr>
          <w:rFonts w:hint="eastAsia"/>
        </w:rPr>
        <w:t xml:space="preserve">therapy initiation but has not demonstrated a mortality benefit in meta-analysis </w:t>
      </w:r>
    </w:p>
    <w:p w14:paraId="6F7FD52B">
      <w:pPr>
        <w:pStyle w:val="2"/>
        <w:rPr>
          <w:rFonts w:hint="eastAsia"/>
        </w:rPr>
      </w:pPr>
      <w:r>
        <w:rPr>
          <w:rFonts w:hint="eastAsia"/>
        </w:rPr>
        <w:t xml:space="preserve">or a cluster-randomized trial. Service integration improves coordination within </w:t>
      </w:r>
    </w:p>
    <w:p w14:paraId="1997890D">
      <w:pPr>
        <w:pStyle w:val="2"/>
        <w:rPr>
          <w:rFonts w:hint="eastAsia"/>
        </w:rPr>
      </w:pPr>
      <w:r>
        <w:rPr>
          <w:rFonts w:hint="eastAsia"/>
        </w:rPr>
        <w:t xml:space="preserve">healthcare, but does not address many of the conditions driving the burden </w:t>
      </w:r>
    </w:p>
    <w:p w14:paraId="0E1F286E">
      <w:pPr>
        <w:pStyle w:val="2"/>
        <w:rPr>
          <w:rFonts w:hint="eastAsia"/>
        </w:rPr>
      </w:pPr>
      <w:r>
        <w:rPr>
          <w:rFonts w:hint="eastAsia"/>
        </w:rPr>
        <w:t xml:space="preserve">outside the clinic. Evidence from India illustrates this gap. In a </w:t>
      </w:r>
    </w:p>
    <w:p w14:paraId="50AAF6AC">
      <w:pPr>
        <w:pStyle w:val="2"/>
        <w:rPr>
          <w:rFonts w:hint="eastAsia"/>
        </w:rPr>
      </w:pPr>
      <w:r>
        <w:rPr>
          <w:rFonts w:hint="eastAsia"/>
        </w:rPr>
        <w:t xml:space="preserve">cluster-randomized trial, household food rations reduced tuberculosis incidence </w:t>
      </w:r>
    </w:p>
    <w:p w14:paraId="1FED0A9D">
      <w:pPr>
        <w:pStyle w:val="2"/>
        <w:rPr>
          <w:rFonts w:hint="eastAsia"/>
        </w:rPr>
      </w:pPr>
      <w:r>
        <w:rPr>
          <w:rFonts w:hint="eastAsia"/>
        </w:rPr>
        <w:t xml:space="preserve">among contacts by about 40%, and the World Health Organization now recommends </w:t>
      </w:r>
    </w:p>
    <w:p w14:paraId="6408ABE0">
      <w:pPr>
        <w:pStyle w:val="2"/>
        <w:rPr>
          <w:rFonts w:hint="eastAsia"/>
        </w:rPr>
      </w:pPr>
      <w:r>
        <w:rPr>
          <w:rFonts w:hint="eastAsia"/>
        </w:rPr>
        <w:t xml:space="preserve">nutritional support for contacts in food-insecure settings. Prevention therefore </w:t>
      </w:r>
    </w:p>
    <w:p w14:paraId="32BE9E8F">
      <w:pPr>
        <w:pStyle w:val="2"/>
        <w:rPr>
          <w:rFonts w:hint="eastAsia"/>
        </w:rPr>
      </w:pPr>
      <w:r>
        <w:rPr>
          <w:rFonts w:hint="eastAsia"/>
        </w:rPr>
        <w:t xml:space="preserve">needs clinical measures alongside action on undernutrition, housing, income, and </w:t>
      </w:r>
    </w:p>
    <w:p w14:paraId="6B1724B6">
      <w:pPr>
        <w:pStyle w:val="2"/>
        <w:rPr>
          <w:rFonts w:hint="eastAsia"/>
        </w:rPr>
      </w:pPr>
      <w:r>
        <w:rPr>
          <w:rFonts w:hint="eastAsia"/>
        </w:rPr>
        <w:t>access to care.</w:t>
      </w:r>
    </w:p>
    <w:p w14:paraId="1FBC8FD6">
      <w:pPr>
        <w:pStyle w:val="2"/>
        <w:rPr>
          <w:rFonts w:hint="eastAsia"/>
        </w:rPr>
      </w:pPr>
    </w:p>
    <w:p w14:paraId="4535F87C">
      <w:pPr>
        <w:pStyle w:val="2"/>
        <w:rPr>
          <w:rFonts w:hint="eastAsia"/>
        </w:rPr>
      </w:pPr>
      <w:r>
        <w:rPr>
          <w:rFonts w:hint="eastAsia"/>
        </w:rPr>
        <w:t>Copyright © 2026. Published by Elsevier Inc.</w:t>
      </w:r>
    </w:p>
    <w:p w14:paraId="2700EFC0">
      <w:pPr>
        <w:pStyle w:val="2"/>
        <w:rPr>
          <w:rFonts w:hint="eastAsia"/>
        </w:rPr>
      </w:pPr>
    </w:p>
    <w:p w14:paraId="4F869194">
      <w:pPr>
        <w:pStyle w:val="2"/>
        <w:rPr>
          <w:rFonts w:hint="eastAsia"/>
        </w:rPr>
      </w:pPr>
      <w:r>
        <w:rPr>
          <w:rFonts w:hint="eastAsia"/>
        </w:rPr>
        <w:t>DOI: 10.1016/j.ypmed.2026.108677</w:t>
      </w:r>
    </w:p>
    <w:p w14:paraId="3DDCA977">
      <w:pPr>
        <w:pStyle w:val="2"/>
        <w:rPr>
          <w:rFonts w:hint="eastAsia"/>
        </w:rPr>
      </w:pPr>
      <w:r>
        <w:rPr>
          <w:rFonts w:hint="eastAsia"/>
        </w:rPr>
        <w:t>PMID: 42843599</w:t>
      </w:r>
    </w:p>
    <w:p w14:paraId="23D50B42">
      <w:pPr>
        <w:pStyle w:val="2"/>
        <w:rPr>
          <w:rFonts w:hint="eastAsia"/>
        </w:rPr>
      </w:pPr>
    </w:p>
    <w:p w14:paraId="124EF770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3</w:t>
      </w:r>
      <w:r>
        <w:rPr>
          <w:rFonts w:hint="eastAsia"/>
          <w:b/>
          <w:bCs/>
          <w:color w:val="FF0000"/>
          <w:lang w:val="en-US" w:eastAsia="zh-CN"/>
        </w:rPr>
        <w:t>5</w:t>
      </w:r>
      <w:r>
        <w:rPr>
          <w:rFonts w:hint="eastAsia"/>
          <w:b/>
          <w:bCs/>
          <w:color w:val="FF0000"/>
        </w:rPr>
        <w:t>. J Mol Biol. 2026 Oct 7:170053. doi: 10.1016/j.jmb.2026.170053. Online ahead of print.</w:t>
      </w:r>
    </w:p>
    <w:p w14:paraId="3B879E5A">
      <w:pPr>
        <w:pStyle w:val="2"/>
        <w:rPr>
          <w:rFonts w:hint="eastAsia"/>
        </w:rPr>
      </w:pPr>
    </w:p>
    <w:p w14:paraId="0EA69CC9">
      <w:pPr>
        <w:pStyle w:val="2"/>
        <w:rPr>
          <w:rFonts w:hint="eastAsia"/>
        </w:rPr>
      </w:pPr>
      <w:r>
        <w:rPr>
          <w:rFonts w:hint="eastAsia"/>
        </w:rPr>
        <w:t xml:space="preserve">Structural basis of substrate accommodation and thiourea-mediated inhibition of </w:t>
      </w:r>
    </w:p>
    <w:p w14:paraId="15E28778">
      <w:pPr>
        <w:pStyle w:val="2"/>
        <w:rPr>
          <w:rFonts w:hint="eastAsia"/>
        </w:rPr>
      </w:pPr>
      <w:r>
        <w:rPr>
          <w:rFonts w:hint="eastAsia"/>
        </w:rPr>
        <w:t>the Mycobacterium tuberculosis dehydratase HadAB.</w:t>
      </w:r>
    </w:p>
    <w:p w14:paraId="17D1C583">
      <w:pPr>
        <w:pStyle w:val="2"/>
        <w:rPr>
          <w:rFonts w:hint="eastAsia"/>
        </w:rPr>
      </w:pPr>
    </w:p>
    <w:p w14:paraId="00E67163">
      <w:pPr>
        <w:pStyle w:val="2"/>
        <w:rPr>
          <w:rFonts w:hint="eastAsia"/>
        </w:rPr>
      </w:pPr>
      <w:r>
        <w:rPr>
          <w:rFonts w:hint="eastAsia"/>
        </w:rPr>
        <w:t>Ganguly SS(1), Saha R(1), Singh BK(1), De S(1), Das AK(1).</w:t>
      </w:r>
    </w:p>
    <w:p w14:paraId="088FFEDE">
      <w:pPr>
        <w:pStyle w:val="2"/>
        <w:rPr>
          <w:rFonts w:hint="eastAsia"/>
        </w:rPr>
      </w:pPr>
    </w:p>
    <w:p w14:paraId="2B72D605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3D55C02C">
      <w:pPr>
        <w:pStyle w:val="2"/>
        <w:rPr>
          <w:rFonts w:hint="eastAsia"/>
        </w:rPr>
      </w:pPr>
      <w:r>
        <w:rPr>
          <w:rFonts w:hint="eastAsia"/>
        </w:rPr>
        <w:t xml:space="preserve">(1)Department of Bioscience and Biotechnology, Indian Institute of Technology </w:t>
      </w:r>
    </w:p>
    <w:p w14:paraId="6E11C35F">
      <w:pPr>
        <w:pStyle w:val="2"/>
        <w:rPr>
          <w:rFonts w:hint="eastAsia"/>
        </w:rPr>
      </w:pPr>
      <w:r>
        <w:rPr>
          <w:rFonts w:hint="eastAsia"/>
        </w:rPr>
        <w:t>Kharagpur, Kharagpur, West Bengal, India.</w:t>
      </w:r>
    </w:p>
    <w:p w14:paraId="4070E829">
      <w:pPr>
        <w:pStyle w:val="2"/>
        <w:rPr>
          <w:rFonts w:hint="eastAsia"/>
        </w:rPr>
      </w:pPr>
    </w:p>
    <w:p w14:paraId="381B004B">
      <w:pPr>
        <w:pStyle w:val="2"/>
        <w:rPr>
          <w:rFonts w:hint="eastAsia"/>
        </w:rPr>
      </w:pPr>
      <w:r>
        <w:rPr>
          <w:rFonts w:hint="eastAsia"/>
        </w:rPr>
        <w:t xml:space="preserve">Mycobacterium tuberculosis relies on the fatty acid synthase II (FAS II) pathway </w:t>
      </w:r>
    </w:p>
    <w:p w14:paraId="11AD165B">
      <w:pPr>
        <w:pStyle w:val="2"/>
        <w:rPr>
          <w:rFonts w:hint="eastAsia"/>
        </w:rPr>
      </w:pPr>
      <w:r>
        <w:rPr>
          <w:rFonts w:hint="eastAsia"/>
        </w:rPr>
        <w:t xml:space="preserve">for the biosynthesis of mycolic acids, which are essential components of its </w:t>
      </w:r>
    </w:p>
    <w:p w14:paraId="1F37503F">
      <w:pPr>
        <w:pStyle w:val="2"/>
        <w:rPr>
          <w:rFonts w:hint="eastAsia"/>
        </w:rPr>
      </w:pPr>
      <w:r>
        <w:rPr>
          <w:rFonts w:hint="eastAsia"/>
        </w:rPr>
        <w:t xml:space="preserve">lipid-rich cell envelope and major contributors to intrinsic drug resistance. </w:t>
      </w:r>
    </w:p>
    <w:p w14:paraId="2B5FC5FB">
      <w:pPr>
        <w:pStyle w:val="2"/>
        <w:rPr>
          <w:rFonts w:hint="eastAsia"/>
        </w:rPr>
      </w:pPr>
      <w:r>
        <w:rPr>
          <w:rFonts w:hint="eastAsia"/>
        </w:rPr>
        <w:t xml:space="preserve">The HadAB dehydratase complex catalyzes a critical dehydration step during early </w:t>
      </w:r>
    </w:p>
    <w:p w14:paraId="6461D017">
      <w:pPr>
        <w:pStyle w:val="2"/>
        <w:rPr>
          <w:rFonts w:hint="eastAsia"/>
        </w:rPr>
      </w:pPr>
      <w:r>
        <w:rPr>
          <w:rFonts w:hint="eastAsia"/>
        </w:rPr>
        <w:t xml:space="preserve">meromycolate chain elongation; however, the structural basis governing substrate </w:t>
      </w:r>
    </w:p>
    <w:p w14:paraId="1B319202">
      <w:pPr>
        <w:pStyle w:val="2"/>
        <w:rPr>
          <w:rFonts w:hint="eastAsia"/>
        </w:rPr>
      </w:pPr>
      <w:r>
        <w:rPr>
          <w:rFonts w:hint="eastAsia"/>
        </w:rPr>
        <w:t xml:space="preserve">accommodation and inhibitor recognition has remained unclear. Here, we report </w:t>
      </w:r>
    </w:p>
    <w:p w14:paraId="1C888650">
      <w:pPr>
        <w:pStyle w:val="2"/>
        <w:rPr>
          <w:rFonts w:hint="eastAsia"/>
        </w:rPr>
      </w:pPr>
      <w:r>
        <w:rPr>
          <w:rFonts w:hint="eastAsia"/>
        </w:rPr>
        <w:t xml:space="preserve">the first substrate-bound crystal structure of M. tuberculosis HadAB in complex </w:t>
      </w:r>
    </w:p>
    <w:p w14:paraId="6499B0FC">
      <w:pPr>
        <w:pStyle w:val="2"/>
        <w:rPr>
          <w:rFonts w:hint="eastAsia"/>
        </w:rPr>
      </w:pPr>
      <w:r>
        <w:rPr>
          <w:rFonts w:hint="eastAsia"/>
        </w:rPr>
        <w:t xml:space="preserve">with Palmitoyl-CoA at 1.69 Å resolution, revealing the architecture and dynamic </w:t>
      </w:r>
    </w:p>
    <w:p w14:paraId="060CF4E9">
      <w:pPr>
        <w:pStyle w:val="2"/>
        <w:rPr>
          <w:rFonts w:hint="eastAsia"/>
        </w:rPr>
      </w:pPr>
      <w:r>
        <w:rPr>
          <w:rFonts w:hint="eastAsia"/>
        </w:rPr>
        <w:t xml:space="preserve">remodeling of the acyl housing tunnel. The structure reveals that the tunnel is </w:t>
      </w:r>
    </w:p>
    <w:p w14:paraId="40360E7E">
      <w:pPr>
        <w:pStyle w:val="2"/>
        <w:rPr>
          <w:rFonts w:hint="eastAsia"/>
        </w:rPr>
      </w:pPr>
      <w:r>
        <w:rPr>
          <w:rFonts w:hint="eastAsia"/>
        </w:rPr>
        <w:t xml:space="preserve">formed at the HadA-HadB interface, with HadA contributing primarily to substrate </w:t>
      </w:r>
    </w:p>
    <w:p w14:paraId="60EB2415">
      <w:pPr>
        <w:pStyle w:val="2"/>
        <w:rPr>
          <w:rFonts w:hint="eastAsia"/>
        </w:rPr>
      </w:pPr>
      <w:r>
        <w:rPr>
          <w:rFonts w:hint="eastAsia"/>
        </w:rPr>
        <w:t xml:space="preserve">accommodation and HadB providing the catalytic machinery. Comparison with the </w:t>
      </w:r>
    </w:p>
    <w:p w14:paraId="5D4D3A3F">
      <w:pPr>
        <w:pStyle w:val="2"/>
        <w:rPr>
          <w:rFonts w:hint="eastAsia"/>
        </w:rPr>
      </w:pPr>
      <w:r>
        <w:rPr>
          <w:rFonts w:hint="eastAsia"/>
        </w:rPr>
        <w:t xml:space="preserve">previously determined apo-structure reveals substrate-induced displacement of </w:t>
      </w:r>
    </w:p>
    <w:p w14:paraId="0114ADA5">
      <w:pPr>
        <w:pStyle w:val="2"/>
        <w:rPr>
          <w:rFonts w:hint="eastAsia"/>
        </w:rPr>
      </w:pPr>
      <w:r>
        <w:rPr>
          <w:rFonts w:hint="eastAsia"/>
        </w:rPr>
        <w:t xml:space="preserve">the α4 hot-dog helix of HadA, resulting in elongation and reshaping of the </w:t>
      </w:r>
    </w:p>
    <w:p w14:paraId="2D6E2758">
      <w:pPr>
        <w:pStyle w:val="2"/>
        <w:rPr>
          <w:rFonts w:hint="eastAsia"/>
        </w:rPr>
      </w:pPr>
      <w:r>
        <w:rPr>
          <w:rFonts w:hint="eastAsia"/>
        </w:rPr>
        <w:t xml:space="preserve">tunnel to accommodate fatty acyl intermediates. The structure further reveals </w:t>
      </w:r>
    </w:p>
    <w:p w14:paraId="2081C314">
      <w:pPr>
        <w:pStyle w:val="2"/>
        <w:rPr>
          <w:rFonts w:hint="eastAsia"/>
        </w:rPr>
      </w:pPr>
      <w:r>
        <w:rPr>
          <w:rFonts w:hint="eastAsia"/>
        </w:rPr>
        <w:t xml:space="preserve">the positioning of Cys61, at the distal end of the acyl housing tunnel, and </w:t>
      </w:r>
    </w:p>
    <w:p w14:paraId="05D0C2EE">
      <w:pPr>
        <w:pStyle w:val="2"/>
        <w:rPr>
          <w:rFonts w:hint="eastAsia"/>
        </w:rPr>
      </w:pPr>
      <w:r>
        <w:rPr>
          <w:rFonts w:hint="eastAsia"/>
        </w:rPr>
        <w:t xml:space="preserve">Cys105, which mediate covalent inhibition by thiourea-derived compounds. </w:t>
      </w:r>
    </w:p>
    <w:p w14:paraId="23AD6459">
      <w:pPr>
        <w:pStyle w:val="2"/>
        <w:rPr>
          <w:rFonts w:hint="eastAsia"/>
        </w:rPr>
      </w:pPr>
      <w:r>
        <w:rPr>
          <w:rFonts w:hint="eastAsia"/>
        </w:rPr>
        <w:t xml:space="preserve">Biochemical analyses demonstrate selective activation of Thioacetazone and </w:t>
      </w:r>
    </w:p>
    <w:p w14:paraId="23394666">
      <w:pPr>
        <w:pStyle w:val="2"/>
        <w:rPr>
          <w:rFonts w:hint="eastAsia"/>
        </w:rPr>
      </w:pPr>
      <w:r>
        <w:rPr>
          <w:rFonts w:hint="eastAsia"/>
        </w:rPr>
        <w:t xml:space="preserve">SPA0355 by mycobacterial Baeyer-Villiger monooxygenases, EthA and MymA, leading </w:t>
      </w:r>
    </w:p>
    <w:p w14:paraId="348792DB">
      <w:pPr>
        <w:pStyle w:val="2"/>
        <w:rPr>
          <w:rFonts w:hint="eastAsia"/>
        </w:rPr>
      </w:pPr>
      <w:r>
        <w:rPr>
          <w:rFonts w:hint="eastAsia"/>
        </w:rPr>
        <w:t xml:space="preserve">to cysteine-dependent modification and inhibition of HadAB. A cell viability </w:t>
      </w:r>
    </w:p>
    <w:p w14:paraId="1BE00211">
      <w:pPr>
        <w:pStyle w:val="2"/>
        <w:rPr>
          <w:rFonts w:hint="eastAsia"/>
        </w:rPr>
      </w:pPr>
      <w:r>
        <w:rPr>
          <w:rFonts w:hint="eastAsia"/>
        </w:rPr>
        <w:t xml:space="preserve">assay against Mycobacterium smegmatis demonstrated promising antimycobacterial </w:t>
      </w:r>
    </w:p>
    <w:p w14:paraId="70F40CF1">
      <w:pPr>
        <w:pStyle w:val="2"/>
        <w:rPr>
          <w:rFonts w:hint="eastAsia"/>
        </w:rPr>
      </w:pPr>
      <w:r>
        <w:rPr>
          <w:rFonts w:hint="eastAsia"/>
        </w:rPr>
        <w:t xml:space="preserve">activity for SPA0355, similar to Thioacetazone. Furthermore, modelling of </w:t>
      </w:r>
    </w:p>
    <w:p w14:paraId="145B2633">
      <w:pPr>
        <w:pStyle w:val="2"/>
        <w:rPr>
          <w:rFonts w:hint="eastAsia"/>
        </w:rPr>
      </w:pPr>
      <w:r>
        <w:rPr>
          <w:rFonts w:hint="eastAsia"/>
        </w:rPr>
        <w:t xml:space="preserve">HadAB-AcpM provided insights into the interaction between HadAB and its </w:t>
      </w:r>
    </w:p>
    <w:p w14:paraId="37238762">
      <w:pPr>
        <w:pStyle w:val="2"/>
        <w:rPr>
          <w:rFonts w:hint="eastAsia"/>
        </w:rPr>
      </w:pPr>
      <w:r>
        <w:rPr>
          <w:rFonts w:hint="eastAsia"/>
        </w:rPr>
        <w:t xml:space="preserve">physiological acyl carrier protein AcpM. Together, these findings establish the </w:t>
      </w:r>
    </w:p>
    <w:p w14:paraId="7DBC9F36">
      <w:pPr>
        <w:pStyle w:val="2"/>
        <w:rPr>
          <w:rFonts w:hint="eastAsia"/>
        </w:rPr>
      </w:pPr>
      <w:r>
        <w:rPr>
          <w:rFonts w:hint="eastAsia"/>
        </w:rPr>
        <w:t xml:space="preserve">molecular basis of substrate recognition, tunnel plasticity, and </w:t>
      </w:r>
    </w:p>
    <w:p w14:paraId="3EA977A6">
      <w:pPr>
        <w:pStyle w:val="2"/>
        <w:rPr>
          <w:rFonts w:hint="eastAsia"/>
        </w:rPr>
      </w:pPr>
      <w:r>
        <w:rPr>
          <w:rFonts w:hint="eastAsia"/>
        </w:rPr>
        <w:t xml:space="preserve">prodrug-mediated inhibition of HadAB, providing a framework for structure-guided </w:t>
      </w:r>
    </w:p>
    <w:p w14:paraId="6F97E14E">
      <w:pPr>
        <w:pStyle w:val="2"/>
        <w:rPr>
          <w:rFonts w:hint="eastAsia"/>
        </w:rPr>
      </w:pPr>
      <w:r>
        <w:rPr>
          <w:rFonts w:hint="eastAsia"/>
        </w:rPr>
        <w:t>development of therapeutics that target mycobacterial lipid biosynthesis.</w:t>
      </w:r>
    </w:p>
    <w:p w14:paraId="588E6F4D">
      <w:pPr>
        <w:pStyle w:val="2"/>
        <w:rPr>
          <w:rFonts w:hint="eastAsia"/>
        </w:rPr>
      </w:pPr>
    </w:p>
    <w:p w14:paraId="57F68605">
      <w:pPr>
        <w:pStyle w:val="2"/>
        <w:rPr>
          <w:rFonts w:hint="eastAsia"/>
        </w:rPr>
      </w:pPr>
      <w:r>
        <w:rPr>
          <w:rFonts w:hint="eastAsia"/>
        </w:rPr>
        <w:t>Copyright © 2026 Elsevier Ltd. All rights reserved.</w:t>
      </w:r>
    </w:p>
    <w:p w14:paraId="1B2082E3">
      <w:pPr>
        <w:pStyle w:val="2"/>
        <w:rPr>
          <w:rFonts w:hint="eastAsia"/>
        </w:rPr>
      </w:pPr>
    </w:p>
    <w:p w14:paraId="60B93852">
      <w:pPr>
        <w:pStyle w:val="2"/>
        <w:rPr>
          <w:rFonts w:hint="eastAsia"/>
        </w:rPr>
      </w:pPr>
      <w:r>
        <w:rPr>
          <w:rFonts w:hint="eastAsia"/>
        </w:rPr>
        <w:t>DOI: 10.1016/j.jmb.2026.170053</w:t>
      </w:r>
    </w:p>
    <w:p w14:paraId="280E4363">
      <w:pPr>
        <w:pStyle w:val="2"/>
        <w:rPr>
          <w:rFonts w:hint="eastAsia"/>
        </w:rPr>
      </w:pPr>
      <w:r>
        <w:rPr>
          <w:rFonts w:hint="eastAsia"/>
        </w:rPr>
        <w:t>PMID: 42843447</w:t>
      </w:r>
    </w:p>
    <w:p w14:paraId="0A240B6F">
      <w:pPr>
        <w:pStyle w:val="2"/>
        <w:rPr>
          <w:rFonts w:hint="eastAsia"/>
        </w:rPr>
      </w:pPr>
    </w:p>
    <w:p w14:paraId="66A2A6EA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3</w:t>
      </w:r>
      <w:r>
        <w:rPr>
          <w:rFonts w:hint="eastAsia"/>
          <w:b/>
          <w:bCs/>
          <w:color w:val="FF0000"/>
          <w:lang w:val="en-US" w:eastAsia="zh-CN"/>
        </w:rPr>
        <w:t>6</w:t>
      </w:r>
      <w:r>
        <w:rPr>
          <w:rFonts w:hint="eastAsia"/>
          <w:b/>
          <w:bCs/>
          <w:color w:val="FF0000"/>
        </w:rPr>
        <w:t xml:space="preserve">. Trop Doct. 2026 Oct 7:494755261492886. doi: 10.1177/00494755261492886. Online </w:t>
      </w:r>
    </w:p>
    <w:p w14:paraId="15CDD6AF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ahead of print.</w:t>
      </w:r>
    </w:p>
    <w:p w14:paraId="349B8C12">
      <w:pPr>
        <w:pStyle w:val="2"/>
        <w:rPr>
          <w:rFonts w:hint="eastAsia"/>
        </w:rPr>
      </w:pPr>
    </w:p>
    <w:p w14:paraId="63669BB5">
      <w:pPr>
        <w:pStyle w:val="2"/>
        <w:rPr>
          <w:rFonts w:hint="eastAsia"/>
        </w:rPr>
      </w:pPr>
      <w:r>
        <w:rPr>
          <w:rFonts w:hint="eastAsia"/>
        </w:rPr>
        <w:t xml:space="preserve">Adult-onset IgA vasculitis with crescentic nephritis triggered by pulmonary </w:t>
      </w:r>
    </w:p>
    <w:p w14:paraId="2A4C966D">
      <w:pPr>
        <w:pStyle w:val="2"/>
        <w:rPr>
          <w:rFonts w:hint="eastAsia"/>
        </w:rPr>
      </w:pPr>
      <w:r>
        <w:rPr>
          <w:rFonts w:hint="eastAsia"/>
        </w:rPr>
        <w:t>tuberculosis: A case report.</w:t>
      </w:r>
    </w:p>
    <w:p w14:paraId="1B45CC73">
      <w:pPr>
        <w:pStyle w:val="2"/>
        <w:rPr>
          <w:rFonts w:hint="eastAsia"/>
        </w:rPr>
      </w:pPr>
    </w:p>
    <w:p w14:paraId="46E018EF">
      <w:pPr>
        <w:pStyle w:val="2"/>
        <w:rPr>
          <w:rFonts w:hint="eastAsia"/>
        </w:rPr>
      </w:pPr>
      <w:r>
        <w:rPr>
          <w:rFonts w:hint="eastAsia"/>
        </w:rPr>
        <w:t>Rawat A(1), Gupta D(2), Jethani V(3), Khanduri S(4), Jindal R(5), Chandel V(6).</w:t>
      </w:r>
    </w:p>
    <w:p w14:paraId="3EABBA4F">
      <w:pPr>
        <w:pStyle w:val="2"/>
        <w:rPr>
          <w:rFonts w:hint="eastAsia"/>
        </w:rPr>
      </w:pPr>
    </w:p>
    <w:p w14:paraId="7A1B37A7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7A959194">
      <w:pPr>
        <w:pStyle w:val="2"/>
        <w:rPr>
          <w:rFonts w:hint="eastAsia"/>
        </w:rPr>
      </w:pPr>
      <w:r>
        <w:rPr>
          <w:rFonts w:hint="eastAsia"/>
        </w:rPr>
        <w:t xml:space="preserve">(1)Assistant Professor, Department of General Medicine, Himalayan Institute of </w:t>
      </w:r>
    </w:p>
    <w:p w14:paraId="40BC6EE7">
      <w:pPr>
        <w:pStyle w:val="2"/>
        <w:rPr>
          <w:rFonts w:hint="eastAsia"/>
        </w:rPr>
      </w:pPr>
      <w:r>
        <w:rPr>
          <w:rFonts w:hint="eastAsia"/>
        </w:rPr>
        <w:t>Medical Sciences, Swami Rama Himalayan University, Dehradun, India.</w:t>
      </w:r>
    </w:p>
    <w:p w14:paraId="36A14024">
      <w:pPr>
        <w:pStyle w:val="2"/>
        <w:rPr>
          <w:rFonts w:hint="eastAsia"/>
        </w:rPr>
      </w:pPr>
      <w:r>
        <w:rPr>
          <w:rFonts w:hint="eastAsia"/>
        </w:rPr>
        <w:t xml:space="preserve">(2)Junior Resident, Department of Respiratory Medicine, Himalayan Institute of </w:t>
      </w:r>
    </w:p>
    <w:p w14:paraId="6AB9F6F5">
      <w:pPr>
        <w:pStyle w:val="2"/>
        <w:rPr>
          <w:rFonts w:hint="eastAsia"/>
        </w:rPr>
      </w:pPr>
      <w:r>
        <w:rPr>
          <w:rFonts w:hint="eastAsia"/>
        </w:rPr>
        <w:t>Medical Sciences, Swami Rama Himalayan University, Dehradun, India.</w:t>
      </w:r>
    </w:p>
    <w:p w14:paraId="3DBFC4D3">
      <w:pPr>
        <w:pStyle w:val="2"/>
        <w:rPr>
          <w:rFonts w:hint="eastAsia"/>
        </w:rPr>
      </w:pPr>
      <w:r>
        <w:rPr>
          <w:rFonts w:hint="eastAsia"/>
        </w:rPr>
        <w:t xml:space="preserve">(3)Associate Professor, Department of Respiratory Medicine, Himalayan Institute </w:t>
      </w:r>
    </w:p>
    <w:p w14:paraId="08A94A6C">
      <w:pPr>
        <w:pStyle w:val="2"/>
        <w:rPr>
          <w:rFonts w:hint="eastAsia"/>
        </w:rPr>
      </w:pPr>
      <w:r>
        <w:rPr>
          <w:rFonts w:hint="eastAsia"/>
        </w:rPr>
        <w:t>of Medical Sciences, Swami Rama Himalayan University, Dehradun, India.</w:t>
      </w:r>
    </w:p>
    <w:p w14:paraId="59D2F202">
      <w:pPr>
        <w:pStyle w:val="2"/>
        <w:rPr>
          <w:rFonts w:hint="eastAsia"/>
        </w:rPr>
      </w:pPr>
      <w:r>
        <w:rPr>
          <w:rFonts w:hint="eastAsia"/>
        </w:rPr>
        <w:t xml:space="preserve">(4)Professor, Department of Respiratory Medicine, Himalayan Institute of Medical </w:t>
      </w:r>
    </w:p>
    <w:p w14:paraId="6675ECE7">
      <w:pPr>
        <w:pStyle w:val="2"/>
        <w:rPr>
          <w:rFonts w:hint="eastAsia"/>
        </w:rPr>
      </w:pPr>
      <w:r>
        <w:rPr>
          <w:rFonts w:hint="eastAsia"/>
        </w:rPr>
        <w:t>Sciences, Swami Rama Himalayan University, Dehradun, India.</w:t>
      </w:r>
    </w:p>
    <w:p w14:paraId="34D0DE0E">
      <w:pPr>
        <w:pStyle w:val="2"/>
        <w:rPr>
          <w:rFonts w:hint="eastAsia"/>
        </w:rPr>
      </w:pPr>
      <w:r>
        <w:rPr>
          <w:rFonts w:hint="eastAsia"/>
        </w:rPr>
        <w:t xml:space="preserve">(5)Professor, Department of Dermatology, Himalayan Institute of Medical </w:t>
      </w:r>
    </w:p>
    <w:p w14:paraId="4D163673">
      <w:pPr>
        <w:pStyle w:val="2"/>
        <w:rPr>
          <w:rFonts w:hint="eastAsia"/>
        </w:rPr>
      </w:pPr>
      <w:r>
        <w:rPr>
          <w:rFonts w:hint="eastAsia"/>
        </w:rPr>
        <w:t>Sciences, Swami Rama Himalayan University, Dehradun, India.</w:t>
      </w:r>
    </w:p>
    <w:p w14:paraId="1FDDAF19">
      <w:pPr>
        <w:pStyle w:val="2"/>
        <w:rPr>
          <w:rFonts w:hint="eastAsia"/>
        </w:rPr>
      </w:pPr>
      <w:r>
        <w:rPr>
          <w:rFonts w:hint="eastAsia"/>
        </w:rPr>
        <w:t xml:space="preserve">(6)Associate Professor, Department of General Medicine, Himalayan Institute of </w:t>
      </w:r>
    </w:p>
    <w:p w14:paraId="48FDBE0B">
      <w:pPr>
        <w:pStyle w:val="2"/>
        <w:rPr>
          <w:rFonts w:hint="eastAsia"/>
        </w:rPr>
      </w:pPr>
      <w:r>
        <w:rPr>
          <w:rFonts w:hint="eastAsia"/>
        </w:rPr>
        <w:t>Medical Sciences, Swami Rama Himalayan University, Dehradun, India.</w:t>
      </w:r>
    </w:p>
    <w:p w14:paraId="5C9F937B">
      <w:pPr>
        <w:pStyle w:val="2"/>
        <w:rPr>
          <w:rFonts w:hint="eastAsia"/>
        </w:rPr>
      </w:pPr>
    </w:p>
    <w:p w14:paraId="6EEECABB">
      <w:pPr>
        <w:pStyle w:val="2"/>
        <w:rPr>
          <w:rFonts w:hint="eastAsia"/>
        </w:rPr>
      </w:pPr>
      <w:r>
        <w:rPr>
          <w:rFonts w:hint="eastAsia"/>
        </w:rPr>
        <w:t xml:space="preserve">Adult-onset IgA vasculitis is a rare, under-recognised cause of crescentic </w:t>
      </w:r>
    </w:p>
    <w:p w14:paraId="23F906B6">
      <w:pPr>
        <w:pStyle w:val="2"/>
        <w:rPr>
          <w:rFonts w:hint="eastAsia"/>
        </w:rPr>
      </w:pPr>
      <w:r>
        <w:rPr>
          <w:rFonts w:hint="eastAsia"/>
        </w:rPr>
        <w:t xml:space="preserve">nephritis in adults, with infections, drugs and malignancies among common </w:t>
      </w:r>
    </w:p>
    <w:p w14:paraId="318F8F45">
      <w:pPr>
        <w:pStyle w:val="2"/>
        <w:rPr>
          <w:rFonts w:hint="eastAsia"/>
        </w:rPr>
      </w:pPr>
      <w:r>
        <w:rPr>
          <w:rFonts w:hint="eastAsia"/>
        </w:rPr>
        <w:t xml:space="preserve">triggers; tuberculosis is also an uncommon but important one. We describe such a </w:t>
      </w:r>
    </w:p>
    <w:p w14:paraId="3B8DC89B">
      <w:pPr>
        <w:pStyle w:val="2"/>
        <w:rPr>
          <w:rFonts w:hint="eastAsia"/>
        </w:rPr>
      </w:pPr>
      <w:r>
        <w:rPr>
          <w:rFonts w:hint="eastAsia"/>
        </w:rPr>
        <w:t>case.</w:t>
      </w:r>
    </w:p>
    <w:p w14:paraId="3F2D4EB6">
      <w:pPr>
        <w:pStyle w:val="2"/>
        <w:rPr>
          <w:rFonts w:hint="eastAsia"/>
        </w:rPr>
      </w:pPr>
    </w:p>
    <w:p w14:paraId="7EE84050">
      <w:pPr>
        <w:pStyle w:val="2"/>
        <w:rPr>
          <w:rFonts w:hint="eastAsia"/>
        </w:rPr>
      </w:pPr>
      <w:r>
        <w:rPr>
          <w:rFonts w:hint="eastAsia"/>
        </w:rPr>
        <w:t>DOI: 10.1177/00494755261492886</w:t>
      </w:r>
    </w:p>
    <w:p w14:paraId="63B720F7">
      <w:pPr>
        <w:pStyle w:val="2"/>
        <w:rPr>
          <w:rFonts w:hint="eastAsia"/>
        </w:rPr>
      </w:pPr>
      <w:r>
        <w:rPr>
          <w:rFonts w:hint="eastAsia"/>
        </w:rPr>
        <w:t>PMID: 42842753</w:t>
      </w:r>
    </w:p>
    <w:p w14:paraId="6C710BFE">
      <w:pPr>
        <w:pStyle w:val="2"/>
        <w:rPr>
          <w:rFonts w:hint="eastAsia"/>
        </w:rPr>
      </w:pPr>
    </w:p>
    <w:p w14:paraId="3BBA123E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37</w:t>
      </w:r>
      <w:r>
        <w:rPr>
          <w:rFonts w:hint="eastAsia"/>
          <w:b/>
          <w:bCs/>
          <w:color w:val="FF0000"/>
        </w:rPr>
        <w:t>. PLoS Med. 2026 Oct 7;23(10):e1005272. doi: 10.1371/journal.pmed.1005272. Online ahead of print.</w:t>
      </w:r>
    </w:p>
    <w:p w14:paraId="424753B3">
      <w:pPr>
        <w:pStyle w:val="2"/>
        <w:rPr>
          <w:rFonts w:hint="eastAsia"/>
        </w:rPr>
      </w:pPr>
    </w:p>
    <w:p w14:paraId="62A15311">
      <w:pPr>
        <w:pStyle w:val="2"/>
        <w:rPr>
          <w:rFonts w:hint="eastAsia"/>
        </w:rPr>
      </w:pPr>
      <w:r>
        <w:rPr>
          <w:rFonts w:hint="eastAsia"/>
        </w:rPr>
        <w:t xml:space="preserve">Potential health impacts and costs of active case finding guided by </w:t>
      </w:r>
    </w:p>
    <w:p w14:paraId="14EE0B2C">
      <w:pPr>
        <w:pStyle w:val="2"/>
        <w:rPr>
          <w:rFonts w:hint="eastAsia"/>
        </w:rPr>
      </w:pPr>
      <w:r>
        <w:rPr>
          <w:rFonts w:hint="eastAsia"/>
        </w:rPr>
        <w:t xml:space="preserve">Mycobacterium tuberculosis immunoreactivity survey results in Blantyre, Malawi: </w:t>
      </w:r>
    </w:p>
    <w:p w14:paraId="79DA5592">
      <w:pPr>
        <w:pStyle w:val="2"/>
        <w:rPr>
          <w:rFonts w:hint="eastAsia"/>
        </w:rPr>
      </w:pPr>
      <w:r>
        <w:rPr>
          <w:rFonts w:hint="eastAsia"/>
        </w:rPr>
        <w:t>A mathematical modeling study.</w:t>
      </w:r>
    </w:p>
    <w:p w14:paraId="09A384CC">
      <w:pPr>
        <w:pStyle w:val="2"/>
        <w:rPr>
          <w:rFonts w:hint="eastAsia"/>
        </w:rPr>
      </w:pPr>
    </w:p>
    <w:p w14:paraId="675E9037">
      <w:pPr>
        <w:pStyle w:val="2"/>
        <w:rPr>
          <w:rFonts w:hint="eastAsia"/>
        </w:rPr>
      </w:pPr>
      <w:r>
        <w:rPr>
          <w:rFonts w:hint="eastAsia"/>
        </w:rPr>
        <w:t xml:space="preserve">Kim S(1), Can MH(1), Rickman HM(2)(3), Phiri MD(3)(4), Nliwasa M(5), Mwenyenkulu </w:t>
      </w:r>
    </w:p>
    <w:p w14:paraId="2D2EC5D0">
      <w:pPr>
        <w:pStyle w:val="2"/>
        <w:rPr>
          <w:rFonts w:hint="eastAsia"/>
        </w:rPr>
      </w:pPr>
      <w:r>
        <w:rPr>
          <w:rFonts w:hint="eastAsia"/>
        </w:rPr>
        <w:t xml:space="preserve">TE(6), Mbendera K(6), Verguet S(1), Castro MC(1), Corbett EL(2)(3), MacPherson </w:t>
      </w:r>
    </w:p>
    <w:p w14:paraId="0DFBDEB0">
      <w:pPr>
        <w:pStyle w:val="2"/>
        <w:rPr>
          <w:rFonts w:hint="eastAsia"/>
        </w:rPr>
      </w:pPr>
      <w:r>
        <w:rPr>
          <w:rFonts w:hint="eastAsia"/>
        </w:rPr>
        <w:t>P(7), Cohen T(8), Menzies NA(1).</w:t>
      </w:r>
    </w:p>
    <w:p w14:paraId="4ECBA189">
      <w:pPr>
        <w:pStyle w:val="2"/>
        <w:rPr>
          <w:rFonts w:hint="eastAsia"/>
        </w:rPr>
      </w:pPr>
    </w:p>
    <w:p w14:paraId="4764761D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726CD84C">
      <w:pPr>
        <w:pStyle w:val="2"/>
        <w:rPr>
          <w:rFonts w:hint="eastAsia"/>
        </w:rPr>
      </w:pPr>
      <w:r>
        <w:rPr>
          <w:rFonts w:hint="eastAsia"/>
        </w:rPr>
        <w:t xml:space="preserve">(1)Department of Global Health and Population, Harvard T.H. Chan School of </w:t>
      </w:r>
    </w:p>
    <w:p w14:paraId="3B39FDFD">
      <w:pPr>
        <w:pStyle w:val="2"/>
        <w:rPr>
          <w:rFonts w:hint="eastAsia"/>
        </w:rPr>
      </w:pPr>
      <w:r>
        <w:rPr>
          <w:rFonts w:hint="eastAsia"/>
        </w:rPr>
        <w:t>Public Health, Boston, Massachusetts, United States of America.</w:t>
      </w:r>
    </w:p>
    <w:p w14:paraId="5EE67740">
      <w:pPr>
        <w:pStyle w:val="2"/>
        <w:rPr>
          <w:rFonts w:hint="eastAsia"/>
        </w:rPr>
      </w:pPr>
      <w:r>
        <w:rPr>
          <w:rFonts w:hint="eastAsia"/>
        </w:rPr>
        <w:t xml:space="preserve">(2)Clinical Research Department, London School of Hygiene &amp; Tropical Medicine, </w:t>
      </w:r>
    </w:p>
    <w:p w14:paraId="05D089BF">
      <w:pPr>
        <w:pStyle w:val="2"/>
        <w:rPr>
          <w:rFonts w:hint="eastAsia"/>
        </w:rPr>
      </w:pPr>
      <w:r>
        <w:rPr>
          <w:rFonts w:hint="eastAsia"/>
        </w:rPr>
        <w:t>London, United Kingdom.</w:t>
      </w:r>
    </w:p>
    <w:p w14:paraId="49F9EE1B">
      <w:pPr>
        <w:pStyle w:val="2"/>
        <w:rPr>
          <w:rFonts w:hint="eastAsia"/>
        </w:rPr>
      </w:pPr>
      <w:r>
        <w:rPr>
          <w:rFonts w:hint="eastAsia"/>
        </w:rPr>
        <w:t>(3)Malawi Liverpool Wellcome Programme, Blantyre, Malawi.</w:t>
      </w:r>
    </w:p>
    <w:p w14:paraId="013E8B93">
      <w:pPr>
        <w:pStyle w:val="2"/>
        <w:rPr>
          <w:rFonts w:hint="eastAsia"/>
        </w:rPr>
      </w:pPr>
      <w:r>
        <w:rPr>
          <w:rFonts w:hint="eastAsia"/>
        </w:rPr>
        <w:t xml:space="preserve">(4)Department of Clinical Sciences, Liverpool School of Tropical Medicine, </w:t>
      </w:r>
    </w:p>
    <w:p w14:paraId="03C266C5">
      <w:pPr>
        <w:pStyle w:val="2"/>
        <w:rPr>
          <w:rFonts w:hint="eastAsia"/>
        </w:rPr>
      </w:pPr>
      <w:r>
        <w:rPr>
          <w:rFonts w:hint="eastAsia"/>
        </w:rPr>
        <w:t>Liverpool, United Kingdom.</w:t>
      </w:r>
    </w:p>
    <w:p w14:paraId="24448911">
      <w:pPr>
        <w:pStyle w:val="2"/>
        <w:rPr>
          <w:rFonts w:hint="eastAsia"/>
        </w:rPr>
      </w:pPr>
      <w:r>
        <w:rPr>
          <w:rFonts w:hint="eastAsia"/>
        </w:rPr>
        <w:t xml:space="preserve">(5)Helse Nord Tuberculosis Initiative, Department of Pathology, Kamuzu </w:t>
      </w:r>
    </w:p>
    <w:p w14:paraId="2B04FBA0">
      <w:pPr>
        <w:pStyle w:val="2"/>
        <w:rPr>
          <w:rFonts w:hint="eastAsia"/>
        </w:rPr>
      </w:pPr>
      <w:r>
        <w:rPr>
          <w:rFonts w:hint="eastAsia"/>
        </w:rPr>
        <w:t>University of Health Sciences, Blantyre, Malawi.</w:t>
      </w:r>
    </w:p>
    <w:p w14:paraId="12D1F93F">
      <w:pPr>
        <w:pStyle w:val="2"/>
        <w:rPr>
          <w:rFonts w:hint="eastAsia"/>
        </w:rPr>
      </w:pPr>
      <w:r>
        <w:rPr>
          <w:rFonts w:hint="eastAsia"/>
        </w:rPr>
        <w:t xml:space="preserve">(6)National Tuberculosis and Leprosy Elimination Program, Ministry of Health, </w:t>
      </w:r>
    </w:p>
    <w:p w14:paraId="1DE40C71">
      <w:pPr>
        <w:pStyle w:val="2"/>
        <w:rPr>
          <w:rFonts w:hint="eastAsia"/>
        </w:rPr>
      </w:pPr>
      <w:r>
        <w:rPr>
          <w:rFonts w:hint="eastAsia"/>
        </w:rPr>
        <w:t>Lilongwe, Malawi.</w:t>
      </w:r>
    </w:p>
    <w:p w14:paraId="74C68AF1">
      <w:pPr>
        <w:pStyle w:val="2"/>
        <w:rPr>
          <w:rFonts w:hint="eastAsia"/>
        </w:rPr>
      </w:pPr>
      <w:r>
        <w:rPr>
          <w:rFonts w:hint="eastAsia"/>
        </w:rPr>
        <w:t>(7)School of Health &amp; Wellbeing, University of Glasgow, Glasgow, United Kingdom.</w:t>
      </w:r>
    </w:p>
    <w:p w14:paraId="43F5EE2B">
      <w:pPr>
        <w:pStyle w:val="2"/>
        <w:rPr>
          <w:rFonts w:hint="eastAsia"/>
        </w:rPr>
      </w:pPr>
      <w:r>
        <w:rPr>
          <w:rFonts w:hint="eastAsia"/>
        </w:rPr>
        <w:t xml:space="preserve">(8)Department of Epidemiology of Microbial Diseases, Yale School of Public </w:t>
      </w:r>
    </w:p>
    <w:p w14:paraId="76A55617">
      <w:pPr>
        <w:pStyle w:val="2"/>
        <w:rPr>
          <w:rFonts w:hint="eastAsia"/>
        </w:rPr>
      </w:pPr>
      <w:r>
        <w:rPr>
          <w:rFonts w:hint="eastAsia"/>
        </w:rPr>
        <w:t>Health, New Haven, Connecticut, United States of America.</w:t>
      </w:r>
    </w:p>
    <w:p w14:paraId="18F8FD50">
      <w:pPr>
        <w:pStyle w:val="2"/>
        <w:rPr>
          <w:rFonts w:hint="eastAsia"/>
        </w:rPr>
      </w:pPr>
    </w:p>
    <w:p w14:paraId="76D0827B">
      <w:pPr>
        <w:pStyle w:val="2"/>
        <w:rPr>
          <w:rFonts w:hint="eastAsia"/>
        </w:rPr>
      </w:pPr>
      <w:r>
        <w:rPr>
          <w:rFonts w:hint="eastAsia"/>
          <w:b/>
          <w:bCs/>
        </w:rPr>
        <w:t>BACKGROUND:</w:t>
      </w:r>
      <w:r>
        <w:rPr>
          <w:rFonts w:hint="eastAsia"/>
        </w:rPr>
        <w:t xml:space="preserve"> Active case finding (ACF) for tuberculosis (TB) can reduce </w:t>
      </w:r>
    </w:p>
    <w:p w14:paraId="43582C4C">
      <w:pPr>
        <w:pStyle w:val="2"/>
        <w:rPr>
          <w:rFonts w:hint="eastAsia"/>
        </w:rPr>
      </w:pPr>
      <w:r>
        <w:rPr>
          <w:rFonts w:hint="eastAsia"/>
        </w:rPr>
        <w:t xml:space="preserve">transmission, yet efficient targeting requires high-quality surveillance data. </w:t>
      </w:r>
    </w:p>
    <w:p w14:paraId="7C3E176B">
      <w:pPr>
        <w:pStyle w:val="2"/>
        <w:rPr>
          <w:rFonts w:hint="eastAsia"/>
        </w:rPr>
      </w:pPr>
      <w:r>
        <w:rPr>
          <w:rFonts w:hint="eastAsia"/>
        </w:rPr>
        <w:t xml:space="preserve">We investigated the potential costs and impact of targeted ACF, guided by local </w:t>
      </w:r>
    </w:p>
    <w:p w14:paraId="285B6A49">
      <w:pPr>
        <w:pStyle w:val="2"/>
        <w:rPr>
          <w:rFonts w:hint="eastAsia"/>
        </w:rPr>
      </w:pPr>
      <w:r>
        <w:rPr>
          <w:rFonts w:hint="eastAsia"/>
        </w:rPr>
        <w:t xml:space="preserve">estimates of the annual risk of TB infection (ARTI) derived from Mycobacterium </w:t>
      </w:r>
    </w:p>
    <w:p w14:paraId="1E3F485D">
      <w:pPr>
        <w:pStyle w:val="2"/>
        <w:rPr>
          <w:rFonts w:hint="eastAsia"/>
        </w:rPr>
      </w:pPr>
      <w:r>
        <w:rPr>
          <w:rFonts w:hint="eastAsia"/>
        </w:rPr>
        <w:t>tuberculosis (Mtb) immunoreactivity survey data in children aged &lt;5 years.</w:t>
      </w:r>
    </w:p>
    <w:p w14:paraId="32BD5E9E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METHODS AND FINDINGS: </w:t>
      </w:r>
      <w:r>
        <w:rPr>
          <w:rFonts w:hint="eastAsia"/>
        </w:rPr>
        <w:t xml:space="preserve">Using mathematical models parameterized with local data, </w:t>
      </w:r>
    </w:p>
    <w:p w14:paraId="1C445793">
      <w:pPr>
        <w:pStyle w:val="2"/>
        <w:rPr>
          <w:rFonts w:hint="eastAsia"/>
        </w:rPr>
      </w:pPr>
      <w:r>
        <w:rPr>
          <w:rFonts w:hint="eastAsia"/>
        </w:rPr>
        <w:t xml:space="preserve">we compared three case-finding approaches across 33 urban neighborhoods in </w:t>
      </w:r>
    </w:p>
    <w:p w14:paraId="574C37C5">
      <w:pPr>
        <w:pStyle w:val="2"/>
        <w:rPr>
          <w:rFonts w:hint="eastAsia"/>
        </w:rPr>
      </w:pPr>
      <w:r>
        <w:rPr>
          <w:rFonts w:hint="eastAsia"/>
        </w:rPr>
        <w:t xml:space="preserve">Blantyre, Malawi: passive case finding (PCF) only; PCF with untargeted ACF; and </w:t>
      </w:r>
    </w:p>
    <w:p w14:paraId="5182E286">
      <w:pPr>
        <w:pStyle w:val="2"/>
        <w:rPr>
          <w:rFonts w:hint="eastAsia"/>
        </w:rPr>
      </w:pPr>
      <w:r>
        <w:rPr>
          <w:rFonts w:hint="eastAsia"/>
        </w:rPr>
        <w:t xml:space="preserve">PCF with ARTI-guided targeted ACF. Health outcomes (life expectancy, </w:t>
      </w:r>
    </w:p>
    <w:p w14:paraId="42F1FF0D">
      <w:pPr>
        <w:pStyle w:val="2"/>
        <w:rPr>
          <w:rFonts w:hint="eastAsia"/>
        </w:rPr>
      </w:pPr>
      <w:r>
        <w:rPr>
          <w:rFonts w:hint="eastAsia"/>
        </w:rPr>
        <w:t xml:space="preserve">disability-adjusted life years [DALYs]) and costs were estimated using a Markov </w:t>
      </w:r>
    </w:p>
    <w:p w14:paraId="617A900E">
      <w:pPr>
        <w:pStyle w:val="2"/>
        <w:rPr>
          <w:rFonts w:hint="eastAsia"/>
        </w:rPr>
      </w:pPr>
      <w:r>
        <w:rPr>
          <w:rFonts w:hint="eastAsia"/>
        </w:rPr>
        <w:t xml:space="preserve">microsimulation model. Costs were assessed from health system and societal </w:t>
      </w:r>
    </w:p>
    <w:p w14:paraId="2BB74299">
      <w:pPr>
        <w:pStyle w:val="2"/>
        <w:rPr>
          <w:rFonts w:hint="eastAsia"/>
        </w:rPr>
      </w:pPr>
      <w:r>
        <w:rPr>
          <w:rFonts w:hint="eastAsia"/>
        </w:rPr>
        <w:t xml:space="preserve">perspectives. Results were calculated for different assumptions about the </w:t>
      </w:r>
    </w:p>
    <w:p w14:paraId="5D5210F9">
      <w:pPr>
        <w:pStyle w:val="2"/>
        <w:rPr>
          <w:rFonts w:hint="eastAsia"/>
        </w:rPr>
      </w:pPr>
      <w:r>
        <w:rPr>
          <w:rFonts w:hint="eastAsia"/>
        </w:rPr>
        <w:t xml:space="preserve">relationship between ARTI and true TB prevalence. Compared to PCF-only, </w:t>
      </w:r>
    </w:p>
    <w:p w14:paraId="48D1BC92">
      <w:pPr>
        <w:pStyle w:val="2"/>
        <w:rPr>
          <w:rFonts w:hint="eastAsia"/>
        </w:rPr>
      </w:pPr>
      <w:r>
        <w:rPr>
          <w:rFonts w:hint="eastAsia"/>
        </w:rPr>
        <w:t xml:space="preserve">untargeted ACF was estimated to improve life expectancy by 3.3 years (95% </w:t>
      </w:r>
    </w:p>
    <w:p w14:paraId="79B95DD4">
      <w:pPr>
        <w:pStyle w:val="2"/>
        <w:rPr>
          <w:rFonts w:hint="eastAsia"/>
        </w:rPr>
      </w:pPr>
      <w:r>
        <w:rPr>
          <w:rFonts w:hint="eastAsia"/>
        </w:rPr>
        <w:t xml:space="preserve">credible interval (CrI) [1.7, 5.4]) for individuals with TB disease, but at high </w:t>
      </w:r>
    </w:p>
    <w:p w14:paraId="7A0A3DAE">
      <w:pPr>
        <w:pStyle w:val="2"/>
        <w:rPr>
          <w:rFonts w:hint="eastAsia"/>
        </w:rPr>
      </w:pPr>
      <w:r>
        <w:rPr>
          <w:rFonts w:hint="eastAsia"/>
        </w:rPr>
        <w:t xml:space="preserve">cost. Targeted ACF covering half of the study population was estimated to </w:t>
      </w:r>
    </w:p>
    <w:p w14:paraId="1E2B119D">
      <w:pPr>
        <w:pStyle w:val="2"/>
        <w:rPr>
          <w:rFonts w:hint="eastAsia"/>
        </w:rPr>
      </w:pPr>
      <w:r>
        <w:rPr>
          <w:rFonts w:hint="eastAsia"/>
        </w:rPr>
        <w:t xml:space="preserve">identify 80% of all individuals with TB and achieved a lower cost per DALY </w:t>
      </w:r>
    </w:p>
    <w:p w14:paraId="6027010B">
      <w:pPr>
        <w:pStyle w:val="2"/>
        <w:rPr>
          <w:rFonts w:hint="eastAsia"/>
        </w:rPr>
      </w:pPr>
      <w:r>
        <w:rPr>
          <w:rFonts w:hint="eastAsia"/>
        </w:rPr>
        <w:t xml:space="preserve">averted (US$400, 95% CrI [20,1,000]) than untargeted ACF (US$700, 95% CrI [100, </w:t>
      </w:r>
    </w:p>
    <w:p w14:paraId="11DA3B16">
      <w:pPr>
        <w:pStyle w:val="2"/>
        <w:rPr>
          <w:rFonts w:hint="eastAsia"/>
        </w:rPr>
      </w:pPr>
      <w:r>
        <w:rPr>
          <w:rFonts w:hint="eastAsia"/>
        </w:rPr>
        <w:t xml:space="preserve">1,500]). In the main analysis, these cost-effectiveness ratios exceeded </w:t>
      </w:r>
    </w:p>
    <w:p w14:paraId="0CFD04B7">
      <w:pPr>
        <w:pStyle w:val="2"/>
        <w:rPr>
          <w:rFonts w:hint="eastAsia"/>
        </w:rPr>
      </w:pPr>
      <w:r>
        <w:rPr>
          <w:rFonts w:hint="eastAsia"/>
        </w:rPr>
        <w:t xml:space="preserve">available cost-effectiveness thresholds for Malawi, although cost-effectiveness </w:t>
      </w:r>
    </w:p>
    <w:p w14:paraId="79BEBEB2">
      <w:pPr>
        <w:pStyle w:val="2"/>
        <w:rPr>
          <w:rFonts w:hint="eastAsia"/>
        </w:rPr>
      </w:pPr>
      <w:r>
        <w:rPr>
          <w:rFonts w:hint="eastAsia"/>
        </w:rPr>
        <w:t xml:space="preserve">improved under assumptions of higher TB prevalence or greater transmission </w:t>
      </w:r>
    </w:p>
    <w:p w14:paraId="4C2237CA">
      <w:pPr>
        <w:pStyle w:val="2"/>
        <w:rPr>
          <w:rFonts w:hint="eastAsia"/>
        </w:rPr>
      </w:pPr>
      <w:r>
        <w:rPr>
          <w:rFonts w:hint="eastAsia"/>
        </w:rPr>
        <w:t xml:space="preserve">reduction. The findings are based on mathematical modeling and are subject to </w:t>
      </w:r>
    </w:p>
    <w:p w14:paraId="386DB19A">
      <w:pPr>
        <w:pStyle w:val="2"/>
        <w:rPr>
          <w:rFonts w:hint="eastAsia"/>
        </w:rPr>
      </w:pPr>
      <w:r>
        <w:rPr>
          <w:rFonts w:hint="eastAsia"/>
        </w:rPr>
        <w:t xml:space="preserve">several limitations, including assumptions regarding the relationship between </w:t>
      </w:r>
    </w:p>
    <w:p w14:paraId="02400B77">
      <w:pPr>
        <w:pStyle w:val="2"/>
        <w:rPr>
          <w:rFonts w:hint="eastAsia"/>
        </w:rPr>
      </w:pPr>
      <w:r>
        <w:rPr>
          <w:rFonts w:hint="eastAsia"/>
        </w:rPr>
        <w:t>ARTI and TB prevalence, which remains uncertain.</w:t>
      </w:r>
    </w:p>
    <w:p w14:paraId="1E20B00E">
      <w:pPr>
        <w:pStyle w:val="2"/>
        <w:rPr>
          <w:rFonts w:hint="eastAsia"/>
        </w:rPr>
      </w:pPr>
      <w:r>
        <w:rPr>
          <w:rFonts w:hint="eastAsia"/>
          <w:b/>
          <w:bCs/>
        </w:rPr>
        <w:t>CONCLUSIONS:</w:t>
      </w:r>
      <w:r>
        <w:rPr>
          <w:rFonts w:hint="eastAsia"/>
        </w:rPr>
        <w:t xml:space="preserve"> Targeting ACF using Mtb immunoreactivity survey data could </w:t>
      </w:r>
    </w:p>
    <w:p w14:paraId="29FDE150">
      <w:pPr>
        <w:pStyle w:val="2"/>
        <w:rPr>
          <w:rFonts w:hint="eastAsia"/>
        </w:rPr>
      </w:pPr>
      <w:r>
        <w:rPr>
          <w:rFonts w:hint="eastAsia"/>
        </w:rPr>
        <w:t xml:space="preserve">substantially improve health impact and cost-effectiveness compared to </w:t>
      </w:r>
    </w:p>
    <w:p w14:paraId="1172813B">
      <w:pPr>
        <w:pStyle w:val="2"/>
        <w:rPr>
          <w:rFonts w:hint="eastAsia"/>
        </w:rPr>
      </w:pPr>
      <w:r>
        <w:rPr>
          <w:rFonts w:hint="eastAsia"/>
        </w:rPr>
        <w:t xml:space="preserve">untargeted approaches. However, low-cost approaches for collecting these data </w:t>
      </w:r>
    </w:p>
    <w:p w14:paraId="3CBB27A3">
      <w:pPr>
        <w:pStyle w:val="2"/>
        <w:rPr>
          <w:rFonts w:hint="eastAsia"/>
        </w:rPr>
      </w:pPr>
      <w:r>
        <w:rPr>
          <w:rFonts w:hint="eastAsia"/>
        </w:rPr>
        <w:t>are needed for wider adoption.</w:t>
      </w:r>
    </w:p>
    <w:p w14:paraId="1F72F259">
      <w:pPr>
        <w:pStyle w:val="2"/>
        <w:rPr>
          <w:rFonts w:hint="eastAsia"/>
        </w:rPr>
      </w:pPr>
    </w:p>
    <w:p w14:paraId="65245A88">
      <w:pPr>
        <w:pStyle w:val="2"/>
        <w:rPr>
          <w:rFonts w:hint="eastAsia"/>
        </w:rPr>
      </w:pPr>
      <w:r>
        <w:rPr>
          <w:rFonts w:hint="eastAsia"/>
        </w:rPr>
        <w:t xml:space="preserve">Copyright: © 2026 Kim et al. This is an open access article distributed under </w:t>
      </w:r>
    </w:p>
    <w:p w14:paraId="6582FDC6">
      <w:pPr>
        <w:pStyle w:val="2"/>
        <w:rPr>
          <w:rFonts w:hint="eastAsia"/>
        </w:rPr>
      </w:pPr>
      <w:r>
        <w:rPr>
          <w:rFonts w:hint="eastAsia"/>
        </w:rPr>
        <w:t xml:space="preserve">the terms of the Creative Commons Attribution License, which permits </w:t>
      </w:r>
    </w:p>
    <w:p w14:paraId="05B80787">
      <w:pPr>
        <w:pStyle w:val="2"/>
        <w:rPr>
          <w:rFonts w:hint="eastAsia"/>
        </w:rPr>
      </w:pPr>
      <w:r>
        <w:rPr>
          <w:rFonts w:hint="eastAsia"/>
        </w:rPr>
        <w:t xml:space="preserve">unrestricted use, distribution, and reproduction in any medium, provided the </w:t>
      </w:r>
    </w:p>
    <w:p w14:paraId="1936BC46">
      <w:pPr>
        <w:pStyle w:val="2"/>
        <w:rPr>
          <w:rFonts w:hint="eastAsia"/>
        </w:rPr>
      </w:pPr>
      <w:r>
        <w:rPr>
          <w:rFonts w:hint="eastAsia"/>
        </w:rPr>
        <w:t>original author and source are credited.</w:t>
      </w:r>
    </w:p>
    <w:p w14:paraId="6A2C8044">
      <w:pPr>
        <w:pStyle w:val="2"/>
        <w:rPr>
          <w:rFonts w:hint="eastAsia"/>
        </w:rPr>
      </w:pPr>
    </w:p>
    <w:p w14:paraId="626A6D6B">
      <w:pPr>
        <w:pStyle w:val="2"/>
        <w:rPr>
          <w:rFonts w:hint="eastAsia"/>
        </w:rPr>
      </w:pPr>
      <w:r>
        <w:rPr>
          <w:rFonts w:hint="eastAsia"/>
        </w:rPr>
        <w:t>DOI: 10.1371/journal.pmed.1005272</w:t>
      </w:r>
    </w:p>
    <w:p w14:paraId="75C8CAC3">
      <w:pPr>
        <w:pStyle w:val="2"/>
        <w:rPr>
          <w:rFonts w:hint="eastAsia"/>
        </w:rPr>
      </w:pPr>
      <w:r>
        <w:rPr>
          <w:rFonts w:hint="eastAsia"/>
        </w:rPr>
        <w:t>PMID: 42842627</w:t>
      </w:r>
    </w:p>
    <w:p w14:paraId="3766CBBF">
      <w:pPr>
        <w:pStyle w:val="2"/>
        <w:rPr>
          <w:rFonts w:hint="eastAsia"/>
        </w:rPr>
      </w:pPr>
    </w:p>
    <w:p w14:paraId="00E3CAE2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38</w:t>
      </w:r>
      <w:r>
        <w:rPr>
          <w:rFonts w:hint="eastAsia"/>
          <w:b/>
          <w:bCs/>
          <w:color w:val="FF0000"/>
        </w:rPr>
        <w:t>. JBI Evid Implement. 2026 Oct 8. doi: 10.1097/XEB.0000000000000660. Online ahead of print.</w:t>
      </w:r>
    </w:p>
    <w:p w14:paraId="51565B11">
      <w:pPr>
        <w:pStyle w:val="2"/>
        <w:rPr>
          <w:rFonts w:hint="eastAsia"/>
        </w:rPr>
      </w:pPr>
    </w:p>
    <w:p w14:paraId="37AA937F">
      <w:pPr>
        <w:pStyle w:val="2"/>
        <w:rPr>
          <w:rFonts w:hint="eastAsia"/>
        </w:rPr>
      </w:pPr>
      <w:r>
        <w:rPr>
          <w:rFonts w:hint="eastAsia"/>
        </w:rPr>
        <w:t xml:space="preserve">Translating evidence into policy: a qualitative exploration of stakeholder </w:t>
      </w:r>
    </w:p>
    <w:p w14:paraId="504D19A1">
      <w:pPr>
        <w:pStyle w:val="2"/>
        <w:rPr>
          <w:rFonts w:hint="eastAsia"/>
        </w:rPr>
      </w:pPr>
      <w:r>
        <w:rPr>
          <w:rFonts w:hint="eastAsia"/>
        </w:rPr>
        <w:t>insights from India's tuberculosis program.</w:t>
      </w:r>
    </w:p>
    <w:p w14:paraId="434B3075">
      <w:pPr>
        <w:pStyle w:val="2"/>
        <w:rPr>
          <w:rFonts w:hint="eastAsia"/>
        </w:rPr>
      </w:pPr>
    </w:p>
    <w:p w14:paraId="119B7A2E">
      <w:pPr>
        <w:pStyle w:val="2"/>
        <w:rPr>
          <w:rFonts w:hint="eastAsia"/>
        </w:rPr>
      </w:pPr>
      <w:r>
        <w:rPr>
          <w:rFonts w:hint="eastAsia"/>
        </w:rPr>
        <w:t>Chauhan A(1), Chauhan S(2), Iyer S(3), Pati S(4)(5).</w:t>
      </w:r>
    </w:p>
    <w:p w14:paraId="4BE2C6C2">
      <w:pPr>
        <w:pStyle w:val="2"/>
        <w:rPr>
          <w:rFonts w:hint="eastAsia"/>
        </w:rPr>
      </w:pPr>
    </w:p>
    <w:p w14:paraId="5C06215C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353945D4">
      <w:pPr>
        <w:pStyle w:val="2"/>
        <w:rPr>
          <w:rFonts w:hint="eastAsia"/>
        </w:rPr>
      </w:pPr>
      <w:r>
        <w:rPr>
          <w:rFonts w:hint="eastAsia"/>
        </w:rPr>
        <w:t>(1)Maastricht University, Maastricht, Netherlands.</w:t>
      </w:r>
    </w:p>
    <w:p w14:paraId="7C5DF328">
      <w:pPr>
        <w:pStyle w:val="2"/>
        <w:rPr>
          <w:rFonts w:hint="eastAsia"/>
        </w:rPr>
      </w:pPr>
      <w:r>
        <w:rPr>
          <w:rFonts w:hint="eastAsia"/>
        </w:rPr>
        <w:t>(2)WHO NTEP Technical Support Network, New Delhi, India.</w:t>
      </w:r>
    </w:p>
    <w:p w14:paraId="5B5E7B8C">
      <w:pPr>
        <w:pStyle w:val="2"/>
        <w:rPr>
          <w:rFonts w:hint="eastAsia"/>
        </w:rPr>
      </w:pPr>
      <w:r>
        <w:rPr>
          <w:rFonts w:hint="eastAsia"/>
        </w:rPr>
        <w:t>(3)Independent Public Health Specialist, New Delhi, India.</w:t>
      </w:r>
    </w:p>
    <w:p w14:paraId="386D1A1F">
      <w:pPr>
        <w:pStyle w:val="2"/>
        <w:rPr>
          <w:rFonts w:hint="eastAsia"/>
        </w:rPr>
      </w:pPr>
      <w:r>
        <w:rPr>
          <w:rFonts w:hint="eastAsia"/>
        </w:rPr>
        <w:t>(4)Indian Council of Medical Research, New Delhi, India.</w:t>
      </w:r>
    </w:p>
    <w:p w14:paraId="6E5BE5C9">
      <w:pPr>
        <w:pStyle w:val="2"/>
        <w:rPr>
          <w:rFonts w:hint="eastAsia"/>
        </w:rPr>
      </w:pPr>
      <w:r>
        <w:rPr>
          <w:rFonts w:hint="eastAsia"/>
        </w:rPr>
        <w:t xml:space="preserve">(5)Indian Council of Medical Research-Regional Medical Research Centre, </w:t>
      </w:r>
    </w:p>
    <w:p w14:paraId="220F6A5B">
      <w:pPr>
        <w:pStyle w:val="2"/>
        <w:rPr>
          <w:rFonts w:hint="eastAsia"/>
        </w:rPr>
      </w:pPr>
      <w:r>
        <w:rPr>
          <w:rFonts w:hint="eastAsia"/>
        </w:rPr>
        <w:t>Bhubaneswar, India.</w:t>
      </w:r>
    </w:p>
    <w:p w14:paraId="010450BF">
      <w:pPr>
        <w:pStyle w:val="2"/>
        <w:rPr>
          <w:rFonts w:hint="eastAsia"/>
        </w:rPr>
      </w:pPr>
    </w:p>
    <w:p w14:paraId="5BF4543F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The integration of scientific evidence into health policy is vital </w:t>
      </w:r>
    </w:p>
    <w:p w14:paraId="436FF5E8">
      <w:pPr>
        <w:pStyle w:val="2"/>
        <w:rPr>
          <w:rFonts w:hint="eastAsia"/>
        </w:rPr>
      </w:pPr>
      <w:r>
        <w:rPr>
          <w:rFonts w:hint="eastAsia"/>
        </w:rPr>
        <w:t xml:space="preserve">for building responsive and equitable health systems. However, translating </w:t>
      </w:r>
    </w:p>
    <w:p w14:paraId="31A16A2E">
      <w:pPr>
        <w:pStyle w:val="2"/>
        <w:rPr>
          <w:rFonts w:hint="eastAsia"/>
        </w:rPr>
      </w:pPr>
      <w:r>
        <w:rPr>
          <w:rFonts w:hint="eastAsia"/>
        </w:rPr>
        <w:t xml:space="preserve">evidence into policy is particularly challenging in low- and middle-income </w:t>
      </w:r>
    </w:p>
    <w:p w14:paraId="6A9509C0">
      <w:pPr>
        <w:pStyle w:val="2"/>
        <w:rPr>
          <w:rFonts w:hint="eastAsia"/>
        </w:rPr>
      </w:pPr>
      <w:r>
        <w:rPr>
          <w:rFonts w:hint="eastAsia"/>
        </w:rPr>
        <w:t xml:space="preserve">countries, where contextual, institutional, and operational complexities abound. </w:t>
      </w:r>
    </w:p>
    <w:p w14:paraId="59B7E693">
      <w:pPr>
        <w:pStyle w:val="2"/>
        <w:rPr>
          <w:rFonts w:hint="eastAsia"/>
        </w:rPr>
      </w:pPr>
      <w:r>
        <w:rPr>
          <w:rFonts w:hint="eastAsia"/>
        </w:rPr>
        <w:t xml:space="preserve">India's National Tuberculosis Elimination Program, a centrally governed </w:t>
      </w:r>
    </w:p>
    <w:p w14:paraId="1E0E607B">
      <w:pPr>
        <w:pStyle w:val="2"/>
        <w:rPr>
          <w:rFonts w:hint="eastAsia"/>
        </w:rPr>
      </w:pPr>
      <w:r>
        <w:rPr>
          <w:rFonts w:hint="eastAsia"/>
        </w:rPr>
        <w:t xml:space="preserve">initiative, offers a rich context to examine evidence generation and its use in </w:t>
      </w:r>
    </w:p>
    <w:p w14:paraId="3D1ECCAF">
      <w:pPr>
        <w:pStyle w:val="2"/>
        <w:rPr>
          <w:rFonts w:hint="eastAsia"/>
        </w:rPr>
      </w:pPr>
      <w:r>
        <w:rPr>
          <w:rFonts w:hint="eastAsia"/>
        </w:rPr>
        <w:t>policymaking.</w:t>
      </w:r>
    </w:p>
    <w:p w14:paraId="1BFAE844">
      <w:pPr>
        <w:pStyle w:val="2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an exploratory qualitative study was conducted through 18 interviews </w:t>
      </w:r>
    </w:p>
    <w:p w14:paraId="33B32D6E">
      <w:pPr>
        <w:pStyle w:val="2"/>
        <w:rPr>
          <w:rFonts w:hint="eastAsia"/>
        </w:rPr>
      </w:pPr>
      <w:r>
        <w:rPr>
          <w:rFonts w:hint="eastAsia"/>
        </w:rPr>
        <w:t xml:space="preserve">with key informants from academia, program management, research, development </w:t>
      </w:r>
    </w:p>
    <w:p w14:paraId="59DF17B1">
      <w:pPr>
        <w:pStyle w:val="2"/>
        <w:rPr>
          <w:rFonts w:hint="eastAsia"/>
        </w:rPr>
      </w:pPr>
      <w:r>
        <w:rPr>
          <w:rFonts w:hint="eastAsia"/>
        </w:rPr>
        <w:t xml:space="preserve">agencies, and media. Interviews were guided by Jacobson et al.'s Knowledge </w:t>
      </w:r>
    </w:p>
    <w:p w14:paraId="2AFF1A38">
      <w:pPr>
        <w:pStyle w:val="2"/>
        <w:rPr>
          <w:rFonts w:hint="eastAsia"/>
        </w:rPr>
      </w:pPr>
      <w:r>
        <w:rPr>
          <w:rFonts w:hint="eastAsia"/>
        </w:rPr>
        <w:t xml:space="preserve">Translation Framework, and were analyzed thematically using a hybrid </w:t>
      </w:r>
    </w:p>
    <w:p w14:paraId="2111425A">
      <w:pPr>
        <w:pStyle w:val="2"/>
        <w:rPr>
          <w:rFonts w:hint="eastAsia"/>
        </w:rPr>
      </w:pPr>
      <w:r>
        <w:rPr>
          <w:rFonts w:hint="eastAsia"/>
        </w:rPr>
        <w:t xml:space="preserve">inductive-deductive approach with MAXQDA software. Triangulation, </w:t>
      </w:r>
    </w:p>
    <w:p w14:paraId="690CFBD1">
      <w:pPr>
        <w:pStyle w:val="2"/>
        <w:rPr>
          <w:rFonts w:hint="eastAsia"/>
        </w:rPr>
      </w:pPr>
      <w:r>
        <w:rPr>
          <w:rFonts w:hint="eastAsia"/>
        </w:rPr>
        <w:t xml:space="preserve">member-checking, and reflexivity were employed to ensure analytical rigor and </w:t>
      </w:r>
    </w:p>
    <w:p w14:paraId="520AA5AE">
      <w:pPr>
        <w:pStyle w:val="2"/>
        <w:rPr>
          <w:rFonts w:hint="eastAsia"/>
        </w:rPr>
      </w:pPr>
      <w:r>
        <w:rPr>
          <w:rFonts w:hint="eastAsia"/>
        </w:rPr>
        <w:t>validity.</w:t>
      </w:r>
    </w:p>
    <w:p w14:paraId="30BD3535">
      <w:pPr>
        <w:pStyle w:val="2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The findings reveal that evidence uptake is influenced by leadership </w:t>
      </w:r>
    </w:p>
    <w:p w14:paraId="4A110BCA">
      <w:pPr>
        <w:pStyle w:val="2"/>
        <w:rPr>
          <w:rFonts w:hint="eastAsia"/>
        </w:rPr>
      </w:pPr>
      <w:r>
        <w:rPr>
          <w:rFonts w:hint="eastAsia"/>
        </w:rPr>
        <w:t xml:space="preserve">priorities, institutional structures, and alignment with policy windows. While </w:t>
      </w:r>
    </w:p>
    <w:p w14:paraId="250247A0">
      <w:pPr>
        <w:pStyle w:val="2"/>
        <w:rPr>
          <w:rFonts w:hint="eastAsia"/>
        </w:rPr>
      </w:pPr>
      <w:r>
        <w:rPr>
          <w:rFonts w:hint="eastAsia"/>
        </w:rPr>
        <w:t xml:space="preserve">formal platforms such as the National Technical Expert Group and Health </w:t>
      </w:r>
    </w:p>
    <w:p w14:paraId="66952390">
      <w:pPr>
        <w:pStyle w:val="2"/>
        <w:rPr>
          <w:rFonts w:hint="eastAsia"/>
        </w:rPr>
      </w:pPr>
      <w:r>
        <w:rPr>
          <w:rFonts w:hint="eastAsia"/>
        </w:rPr>
        <w:t xml:space="preserve">Technology Assessment India facilitate evidence appraisal for clinical </w:t>
      </w:r>
    </w:p>
    <w:p w14:paraId="4A59CE0A">
      <w:pPr>
        <w:pStyle w:val="2"/>
        <w:rPr>
          <w:rFonts w:hint="eastAsia"/>
        </w:rPr>
      </w:pPr>
      <w:r>
        <w:rPr>
          <w:rFonts w:hint="eastAsia"/>
        </w:rPr>
        <w:t xml:space="preserve">decisions, non-clinical areas such as communication and strategy lack systematic </w:t>
      </w:r>
    </w:p>
    <w:p w14:paraId="1A75044C">
      <w:pPr>
        <w:pStyle w:val="2"/>
        <w:rPr>
          <w:rFonts w:hint="eastAsia"/>
        </w:rPr>
      </w:pPr>
      <w:r>
        <w:rPr>
          <w:rFonts w:hint="eastAsia"/>
        </w:rPr>
        <w:t xml:space="preserve">review processes. A disconnect persists between researchers and implementers, </w:t>
      </w:r>
    </w:p>
    <w:p w14:paraId="3559596E">
      <w:pPr>
        <w:pStyle w:val="2"/>
        <w:rPr>
          <w:rFonts w:hint="eastAsia"/>
        </w:rPr>
      </w:pPr>
      <w:r>
        <w:rPr>
          <w:rFonts w:hint="eastAsia"/>
        </w:rPr>
        <w:t xml:space="preserve">with limited co-creation of research questions. Operationally relevant evidence </w:t>
      </w:r>
    </w:p>
    <w:p w14:paraId="2C55A807">
      <w:pPr>
        <w:pStyle w:val="2"/>
        <w:rPr>
          <w:rFonts w:hint="eastAsia"/>
        </w:rPr>
      </w:pPr>
      <w:r>
        <w:rPr>
          <w:rFonts w:hint="eastAsia"/>
        </w:rPr>
        <w:t xml:space="preserve">is often missing or inadequately disseminated, and global models are frequently </w:t>
      </w:r>
    </w:p>
    <w:p w14:paraId="14446C37">
      <w:pPr>
        <w:pStyle w:val="2"/>
        <w:rPr>
          <w:rFonts w:hint="eastAsia"/>
        </w:rPr>
      </w:pPr>
      <w:r>
        <w:rPr>
          <w:rFonts w:hint="eastAsia"/>
        </w:rPr>
        <w:t xml:space="preserve">adopted without sufficient local adaptation, reflecting isomorphic mimicry. The </w:t>
      </w:r>
    </w:p>
    <w:p w14:paraId="62984C3F">
      <w:pPr>
        <w:pStyle w:val="2"/>
        <w:rPr>
          <w:rFonts w:hint="eastAsia"/>
        </w:rPr>
      </w:pPr>
      <w:r>
        <w:rPr>
          <w:rFonts w:hint="eastAsia"/>
        </w:rPr>
        <w:t xml:space="preserve">credibility of evidence producers and strategic brokering by intermediaries </w:t>
      </w:r>
    </w:p>
    <w:p w14:paraId="4A097359">
      <w:pPr>
        <w:pStyle w:val="2"/>
        <w:rPr>
          <w:rFonts w:hint="eastAsia"/>
        </w:rPr>
      </w:pPr>
      <w:r>
        <w:rPr>
          <w:rFonts w:hint="eastAsia"/>
        </w:rPr>
        <w:t xml:space="preserve">plays a significant role in determining policy influence. Participants </w:t>
      </w:r>
    </w:p>
    <w:p w14:paraId="3A2E5762">
      <w:pPr>
        <w:pStyle w:val="2"/>
        <w:rPr>
          <w:rFonts w:hint="eastAsia"/>
        </w:rPr>
      </w:pPr>
      <w:r>
        <w:rPr>
          <w:rFonts w:hint="eastAsia"/>
        </w:rPr>
        <w:t xml:space="preserve">emphasized the need for locally grounded, policy-aligned, and practically useful </w:t>
      </w:r>
    </w:p>
    <w:p w14:paraId="1A11F31D">
      <w:pPr>
        <w:pStyle w:val="2"/>
        <w:rPr>
          <w:rFonts w:hint="eastAsia"/>
        </w:rPr>
      </w:pPr>
      <w:r>
        <w:rPr>
          <w:rFonts w:hint="eastAsia"/>
        </w:rPr>
        <w:t>evidence.</w:t>
      </w:r>
    </w:p>
    <w:p w14:paraId="2342434B">
      <w:pPr>
        <w:pStyle w:val="2"/>
        <w:rPr>
          <w:rFonts w:hint="eastAsia"/>
        </w:rPr>
      </w:pPr>
      <w:r>
        <w:rPr>
          <w:rFonts w:hint="eastAsia"/>
          <w:b/>
          <w:bCs/>
        </w:rPr>
        <w:t>CONCLUSION:</w:t>
      </w:r>
      <w:r>
        <w:rPr>
          <w:rFonts w:hint="eastAsia"/>
        </w:rPr>
        <w:t xml:space="preserve"> Improving evidence used in the National Tuberculosis Elimination </w:t>
      </w:r>
    </w:p>
    <w:p w14:paraId="6B553014">
      <w:pPr>
        <w:pStyle w:val="2"/>
        <w:rPr>
          <w:rFonts w:hint="eastAsia"/>
        </w:rPr>
      </w:pPr>
      <w:r>
        <w:rPr>
          <w:rFonts w:hint="eastAsia"/>
        </w:rPr>
        <w:t xml:space="preserve">Program requires co-creation, strategic dissemination, and alignment with </w:t>
      </w:r>
    </w:p>
    <w:p w14:paraId="3BD14BFB">
      <w:pPr>
        <w:pStyle w:val="2"/>
        <w:rPr>
          <w:rFonts w:hint="eastAsia"/>
        </w:rPr>
      </w:pPr>
      <w:r>
        <w:rPr>
          <w:rFonts w:hint="eastAsia"/>
        </w:rPr>
        <w:t>institutional priorities, leadership timing, and contextual realities.</w:t>
      </w:r>
    </w:p>
    <w:p w14:paraId="4593A3C8">
      <w:pPr>
        <w:pStyle w:val="2"/>
        <w:rPr>
          <w:rFonts w:hint="eastAsia"/>
        </w:rPr>
      </w:pPr>
      <w:r>
        <w:rPr>
          <w:rFonts w:hint="eastAsia"/>
        </w:rPr>
        <w:t>SPANISH ABSTRACT: https://links.lww.com/IJEBH/A701.</w:t>
      </w:r>
    </w:p>
    <w:p w14:paraId="4BC1D57F">
      <w:pPr>
        <w:pStyle w:val="2"/>
        <w:rPr>
          <w:rFonts w:hint="eastAsia"/>
        </w:rPr>
      </w:pPr>
    </w:p>
    <w:p w14:paraId="36AC16BF">
      <w:pPr>
        <w:pStyle w:val="2"/>
        <w:rPr>
          <w:rFonts w:hint="eastAsia"/>
        </w:rPr>
      </w:pPr>
      <w:r>
        <w:rPr>
          <w:rFonts w:hint="eastAsia"/>
        </w:rPr>
        <w:t xml:space="preserve">Copyright © 2026 The Author(s). Published by Wolters Kluwer Health, LLC. on </w:t>
      </w:r>
    </w:p>
    <w:p w14:paraId="3BD89C5A">
      <w:pPr>
        <w:pStyle w:val="2"/>
        <w:rPr>
          <w:rFonts w:hint="eastAsia"/>
        </w:rPr>
      </w:pPr>
      <w:r>
        <w:rPr>
          <w:rFonts w:hint="eastAsia"/>
        </w:rPr>
        <w:t>behalf of the University of Adelaide, JBI.</w:t>
      </w:r>
    </w:p>
    <w:p w14:paraId="7AB79E2B">
      <w:pPr>
        <w:pStyle w:val="2"/>
        <w:rPr>
          <w:rFonts w:hint="eastAsia"/>
        </w:rPr>
      </w:pPr>
    </w:p>
    <w:p w14:paraId="06EC13F3">
      <w:pPr>
        <w:pStyle w:val="2"/>
        <w:rPr>
          <w:rFonts w:hint="eastAsia"/>
        </w:rPr>
      </w:pPr>
      <w:r>
        <w:rPr>
          <w:rFonts w:hint="eastAsia"/>
        </w:rPr>
        <w:t>DOI: 10.1097/XEB.0000000000000660</w:t>
      </w:r>
    </w:p>
    <w:p w14:paraId="0A7C863B">
      <w:pPr>
        <w:pStyle w:val="2"/>
        <w:rPr>
          <w:rFonts w:hint="eastAsia"/>
        </w:rPr>
      </w:pPr>
      <w:r>
        <w:rPr>
          <w:rFonts w:hint="eastAsia"/>
        </w:rPr>
        <w:t>PMID: 42842380</w:t>
      </w:r>
    </w:p>
    <w:p w14:paraId="29DF71AD">
      <w:pPr>
        <w:pStyle w:val="2"/>
        <w:rPr>
          <w:rFonts w:hint="eastAsia"/>
        </w:rPr>
      </w:pPr>
    </w:p>
    <w:p w14:paraId="03855991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39</w:t>
      </w:r>
      <w:r>
        <w:rPr>
          <w:rFonts w:hint="eastAsia"/>
          <w:b/>
          <w:bCs/>
          <w:color w:val="FF0000"/>
        </w:rPr>
        <w:t>. Monaldi Arch Chest Dis. 2026 Oct 6. doi: 10.4081/monaldi.2026.3900. Online ahead of print.</w:t>
      </w:r>
    </w:p>
    <w:p w14:paraId="7E96F2A9">
      <w:pPr>
        <w:pStyle w:val="2"/>
        <w:rPr>
          <w:rFonts w:hint="eastAsia"/>
        </w:rPr>
      </w:pPr>
    </w:p>
    <w:p w14:paraId="2C0AB11F">
      <w:pPr>
        <w:pStyle w:val="2"/>
        <w:rPr>
          <w:rFonts w:hint="eastAsia"/>
        </w:rPr>
      </w:pPr>
      <w:r>
        <w:rPr>
          <w:rFonts w:hint="eastAsia"/>
        </w:rPr>
        <w:t xml:space="preserve">Outcomes of pulmonary rehabilitation in post-tuberculosis sequelae: a </w:t>
      </w:r>
    </w:p>
    <w:p w14:paraId="5F0920EE">
      <w:pPr>
        <w:pStyle w:val="2"/>
        <w:rPr>
          <w:rFonts w:hint="eastAsia"/>
        </w:rPr>
      </w:pPr>
      <w:r>
        <w:rPr>
          <w:rFonts w:hint="eastAsia"/>
        </w:rPr>
        <w:t>comparative analysis of home-based and hospital-based programs.</w:t>
      </w:r>
    </w:p>
    <w:p w14:paraId="0CAA86B3">
      <w:pPr>
        <w:pStyle w:val="2"/>
        <w:rPr>
          <w:rFonts w:hint="eastAsia"/>
        </w:rPr>
      </w:pPr>
    </w:p>
    <w:p w14:paraId="6E81DCB8">
      <w:pPr>
        <w:pStyle w:val="2"/>
        <w:rPr>
          <w:rFonts w:hint="eastAsia"/>
        </w:rPr>
      </w:pPr>
      <w:r>
        <w:rPr>
          <w:rFonts w:hint="eastAsia"/>
        </w:rPr>
        <w:t>Mehta M(1), Dixit R(2), Mathur S(2), Goyal M(3).</w:t>
      </w:r>
    </w:p>
    <w:p w14:paraId="5BAF6219">
      <w:pPr>
        <w:pStyle w:val="2"/>
        <w:rPr>
          <w:rFonts w:hint="eastAsia"/>
        </w:rPr>
      </w:pPr>
    </w:p>
    <w:p w14:paraId="35CCDE06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541EA9DF">
      <w:pPr>
        <w:pStyle w:val="2"/>
        <w:rPr>
          <w:rFonts w:hint="eastAsia"/>
        </w:rPr>
      </w:pPr>
      <w:r>
        <w:rPr>
          <w:rFonts w:hint="eastAsia"/>
        </w:rPr>
        <w:t>(1)Department of Respiratory Medicine, SP Medical College, Bikaner, Rajasthan.</w:t>
      </w:r>
    </w:p>
    <w:p w14:paraId="0BE9300C">
      <w:pPr>
        <w:pStyle w:val="2"/>
        <w:rPr>
          <w:rFonts w:hint="eastAsia"/>
        </w:rPr>
      </w:pPr>
      <w:r>
        <w:rPr>
          <w:rFonts w:hint="eastAsia"/>
        </w:rPr>
        <w:t>(2)Department of Respiratory Medicine, J L N Medical College, Ajmer.</w:t>
      </w:r>
    </w:p>
    <w:p w14:paraId="2ECB2DD5">
      <w:pPr>
        <w:pStyle w:val="2"/>
        <w:rPr>
          <w:rFonts w:hint="eastAsia"/>
        </w:rPr>
      </w:pPr>
      <w:r>
        <w:rPr>
          <w:rFonts w:hint="eastAsia"/>
        </w:rPr>
        <w:t>(3)Department of Respiratory Medicine, Vyas Medical College, Jodhpur, Rajasthan.</w:t>
      </w:r>
    </w:p>
    <w:p w14:paraId="4572E9DC">
      <w:pPr>
        <w:pStyle w:val="2"/>
        <w:rPr>
          <w:rFonts w:hint="eastAsia"/>
        </w:rPr>
      </w:pPr>
    </w:p>
    <w:p w14:paraId="7D7684E6">
      <w:pPr>
        <w:pStyle w:val="2"/>
        <w:rPr>
          <w:rFonts w:hint="eastAsia"/>
        </w:rPr>
      </w:pPr>
      <w:r>
        <w:rPr>
          <w:rFonts w:hint="eastAsia"/>
        </w:rPr>
        <w:t xml:space="preserve">Post-tuberculosis lung disease (PTLD) is associated with persistent respiratory </w:t>
      </w:r>
    </w:p>
    <w:p w14:paraId="4EF20E66">
      <w:pPr>
        <w:pStyle w:val="2"/>
        <w:rPr>
          <w:rFonts w:hint="eastAsia"/>
        </w:rPr>
      </w:pPr>
      <w:r>
        <w:rPr>
          <w:rFonts w:hint="eastAsia"/>
        </w:rPr>
        <w:t xml:space="preserve">symptoms, reduced exercise capacity, impaired quality of life, and psychological </w:t>
      </w:r>
    </w:p>
    <w:p w14:paraId="1D045EEF">
      <w:pPr>
        <w:pStyle w:val="2"/>
        <w:rPr>
          <w:rFonts w:hint="eastAsia"/>
        </w:rPr>
      </w:pPr>
      <w:r>
        <w:rPr>
          <w:rFonts w:hint="eastAsia"/>
        </w:rPr>
        <w:t xml:space="preserve">morbidity despite successful completion of anti-tubercular therapy. Although </w:t>
      </w:r>
    </w:p>
    <w:p w14:paraId="45A1D909">
      <w:pPr>
        <w:pStyle w:val="2"/>
        <w:rPr>
          <w:rFonts w:hint="eastAsia"/>
        </w:rPr>
      </w:pPr>
      <w:r>
        <w:rPr>
          <w:rFonts w:hint="eastAsia"/>
        </w:rPr>
        <w:t xml:space="preserve">pulmonary rehabilitation (PR) is an established therapeutic intervention, </w:t>
      </w:r>
    </w:p>
    <w:p w14:paraId="1DD863BE">
      <w:pPr>
        <w:pStyle w:val="2"/>
        <w:rPr>
          <w:rFonts w:hint="eastAsia"/>
        </w:rPr>
      </w:pPr>
      <w:r>
        <w:rPr>
          <w:rFonts w:hint="eastAsia"/>
        </w:rPr>
        <w:t xml:space="preserve">comparative evidence on home-based PR (HBPR) and hospital-based PR (HPR), </w:t>
      </w:r>
    </w:p>
    <w:p w14:paraId="4E06BA23">
      <w:pPr>
        <w:pStyle w:val="2"/>
        <w:rPr>
          <w:rFonts w:hint="eastAsia"/>
        </w:rPr>
      </w:pPr>
      <w:r>
        <w:rPr>
          <w:rFonts w:hint="eastAsia"/>
        </w:rPr>
        <w:t xml:space="preserve">particularly beyond 12 weeks, remains limited. So, to compare the effects of </w:t>
      </w:r>
    </w:p>
    <w:p w14:paraId="5889CD21">
      <w:pPr>
        <w:pStyle w:val="2"/>
        <w:rPr>
          <w:rFonts w:hint="eastAsia"/>
        </w:rPr>
      </w:pPr>
      <w:r>
        <w:rPr>
          <w:rFonts w:hint="eastAsia"/>
        </w:rPr>
        <w:t xml:space="preserve">HBPR and HPR on clinical, functional, psychological, and pulmonary function </w:t>
      </w:r>
    </w:p>
    <w:p w14:paraId="09B79571">
      <w:pPr>
        <w:pStyle w:val="2"/>
        <w:rPr>
          <w:rFonts w:hint="eastAsia"/>
        </w:rPr>
      </w:pPr>
      <w:r>
        <w:rPr>
          <w:rFonts w:hint="eastAsia"/>
        </w:rPr>
        <w:t xml:space="preserve">outcomes in patients with PTLD, the study was done over a period of 24 weeks. </w:t>
      </w:r>
    </w:p>
    <w:p w14:paraId="01160654">
      <w:pPr>
        <w:pStyle w:val="2"/>
        <w:rPr>
          <w:rFonts w:hint="eastAsia"/>
        </w:rPr>
      </w:pPr>
      <w:r>
        <w:rPr>
          <w:rFonts w:hint="eastAsia"/>
        </w:rPr>
        <w:t xml:space="preserve">This prospective comparative study included 50 patients with PTLD, of whom 30 </w:t>
      </w:r>
    </w:p>
    <w:p w14:paraId="3127AAD5">
      <w:pPr>
        <w:pStyle w:val="2"/>
        <w:rPr>
          <w:rFonts w:hint="eastAsia"/>
        </w:rPr>
      </w:pPr>
      <w:r>
        <w:rPr>
          <w:rFonts w:hint="eastAsia"/>
        </w:rPr>
        <w:t xml:space="preserve">underwent structured HBPR with weekly follow-up and 20 underwent supervised HPR. </w:t>
      </w:r>
    </w:p>
    <w:p w14:paraId="464B382D">
      <w:pPr>
        <w:pStyle w:val="2"/>
        <w:rPr>
          <w:rFonts w:hint="eastAsia"/>
        </w:rPr>
      </w:pPr>
      <w:r>
        <w:rPr>
          <w:rFonts w:hint="eastAsia"/>
        </w:rPr>
        <w:t xml:space="preserve">Allocation was based on feasibility and participant preference. Allocation was </w:t>
      </w:r>
    </w:p>
    <w:p w14:paraId="029CEE54">
      <w:pPr>
        <w:pStyle w:val="2"/>
        <w:rPr>
          <w:rFonts w:hint="eastAsia"/>
        </w:rPr>
      </w:pPr>
      <w:r>
        <w:rPr>
          <w:rFonts w:hint="eastAsia"/>
        </w:rPr>
        <w:t xml:space="preserve">based on feasibility and participant preference. Participants were assessed at </w:t>
      </w:r>
    </w:p>
    <w:p w14:paraId="6C127B1E">
      <w:pPr>
        <w:pStyle w:val="2"/>
        <w:rPr>
          <w:rFonts w:hint="eastAsia"/>
        </w:rPr>
      </w:pPr>
      <w:r>
        <w:rPr>
          <w:rFonts w:hint="eastAsia"/>
        </w:rPr>
        <w:t xml:space="preserve">baseline, 12 weeks, and 24 weeks using the modified Medical Research Council </w:t>
      </w:r>
    </w:p>
    <w:p w14:paraId="506342FE">
      <w:pPr>
        <w:pStyle w:val="2"/>
        <w:rPr>
          <w:rFonts w:hint="eastAsia"/>
        </w:rPr>
      </w:pPr>
      <w:r>
        <w:rPr>
          <w:rFonts w:hint="eastAsia"/>
        </w:rPr>
        <w:t xml:space="preserve">(mMRC) dyspnea grade, body mass index (BMI), St. George's Respiratory </w:t>
      </w:r>
    </w:p>
    <w:p w14:paraId="5B29E854">
      <w:pPr>
        <w:pStyle w:val="2"/>
        <w:rPr>
          <w:rFonts w:hint="eastAsia"/>
        </w:rPr>
      </w:pPr>
      <w:r>
        <w:rPr>
          <w:rFonts w:hint="eastAsia"/>
        </w:rPr>
        <w:t xml:space="preserve">Questionnaire (SGRQ), Depression Anxiety Stress Scale-21 (DASS-21), spirometry, </w:t>
      </w:r>
    </w:p>
    <w:p w14:paraId="10B133B5">
      <w:pPr>
        <w:pStyle w:val="2"/>
        <w:rPr>
          <w:rFonts w:hint="eastAsia"/>
        </w:rPr>
      </w:pPr>
      <w:r>
        <w:rPr>
          <w:rFonts w:hint="eastAsia"/>
        </w:rPr>
        <w:t xml:space="preserve">and six-minute walk distance (6MWD). Changes within groups were analyzed for </w:t>
      </w:r>
    </w:p>
    <w:p w14:paraId="2D1451A1">
      <w:pPr>
        <w:pStyle w:val="2"/>
        <w:rPr>
          <w:rFonts w:hint="eastAsia"/>
        </w:rPr>
      </w:pPr>
      <w:r>
        <w:rPr>
          <w:rFonts w:hint="eastAsia"/>
        </w:rPr>
        <w:t xml:space="preserve">0-12 weeks, 12-24 weeks, and 0-24 weeks, and change scores were compared between </w:t>
      </w:r>
    </w:p>
    <w:p w14:paraId="46C2BC75">
      <w:pPr>
        <w:pStyle w:val="2"/>
        <w:rPr>
          <w:rFonts w:hint="eastAsia"/>
        </w:rPr>
      </w:pPr>
      <w:r>
        <w:rPr>
          <w:rFonts w:hint="eastAsia"/>
        </w:rPr>
        <w:t xml:space="preserve">groups. Both rehabilitation strategies significantly improved dyspnea, </w:t>
      </w:r>
    </w:p>
    <w:p w14:paraId="6EF65C16">
      <w:pPr>
        <w:pStyle w:val="2"/>
        <w:rPr>
          <w:rFonts w:hint="eastAsia"/>
        </w:rPr>
      </w:pPr>
      <w:r>
        <w:rPr>
          <w:rFonts w:hint="eastAsia"/>
        </w:rPr>
        <w:t xml:space="preserve">nutritional status, quality of life, psychological well-being, pulmonary </w:t>
      </w:r>
    </w:p>
    <w:p w14:paraId="75265876">
      <w:pPr>
        <w:pStyle w:val="2"/>
        <w:rPr>
          <w:rFonts w:hint="eastAsia"/>
        </w:rPr>
      </w:pPr>
      <w:r>
        <w:rPr>
          <w:rFonts w:hint="eastAsia"/>
        </w:rPr>
        <w:t xml:space="preserve">function, and exercise capacity over 24 weeks. In the HBPR group, mean 6MWD </w:t>
      </w:r>
    </w:p>
    <w:p w14:paraId="12F59118">
      <w:pPr>
        <w:pStyle w:val="2"/>
        <w:rPr>
          <w:rFonts w:hint="eastAsia"/>
        </w:rPr>
      </w:pPr>
      <w:r>
        <w:rPr>
          <w:rFonts w:hint="eastAsia"/>
        </w:rPr>
        <w:t xml:space="preserve">increased from 258.17±82.72 m to 377.00±82.38 m, while in the HPR group it </w:t>
      </w:r>
    </w:p>
    <w:p w14:paraId="7776490C">
      <w:pPr>
        <w:pStyle w:val="2"/>
        <w:rPr>
          <w:rFonts w:hint="eastAsia"/>
        </w:rPr>
      </w:pPr>
      <w:r>
        <w:rPr>
          <w:rFonts w:hint="eastAsia"/>
        </w:rPr>
        <w:t xml:space="preserve">increased from 308.00±118.84 m to 429.00±114.57 m (both p&lt;0.001). Mean SGRQ </w:t>
      </w:r>
    </w:p>
    <w:p w14:paraId="7B369A4E">
      <w:pPr>
        <w:pStyle w:val="2"/>
        <w:rPr>
          <w:rFonts w:hint="eastAsia"/>
        </w:rPr>
      </w:pPr>
      <w:r>
        <w:rPr>
          <w:rFonts w:hint="eastAsia"/>
        </w:rPr>
        <w:t xml:space="preserve">scores improved from 44.67±9.28 to 29.73±7.00 in the HBPR group and from </w:t>
      </w:r>
    </w:p>
    <w:p w14:paraId="5E89B3FB">
      <w:pPr>
        <w:pStyle w:val="2"/>
        <w:rPr>
          <w:rFonts w:hint="eastAsia"/>
        </w:rPr>
      </w:pPr>
      <w:r>
        <w:rPr>
          <w:rFonts w:hint="eastAsia"/>
        </w:rPr>
        <w:t xml:space="preserve">38.70±10.35 to 25.10±8.30 in the HPR group (both p&lt;0.001). Significant </w:t>
      </w:r>
    </w:p>
    <w:p w14:paraId="451B74D4">
      <w:pPr>
        <w:pStyle w:val="2"/>
        <w:rPr>
          <w:rFonts w:hint="eastAsia"/>
        </w:rPr>
      </w:pPr>
      <w:r>
        <w:rPr>
          <w:rFonts w:hint="eastAsia"/>
        </w:rPr>
        <w:t xml:space="preserve">improvements were also observed in BMI, DASS-21 scores, forced expiratory volume </w:t>
      </w:r>
    </w:p>
    <w:p w14:paraId="756CDDAE">
      <w:pPr>
        <w:pStyle w:val="2"/>
        <w:rPr>
          <w:rFonts w:hint="eastAsia"/>
        </w:rPr>
      </w:pPr>
      <w:r>
        <w:rPr>
          <w:rFonts w:hint="eastAsia"/>
        </w:rPr>
        <w:t xml:space="preserve">in one second (FEV₁), forced vital capacity (FVC), FEV₁/FVC ratio, and forced </w:t>
      </w:r>
    </w:p>
    <w:p w14:paraId="30FB4E09">
      <w:pPr>
        <w:pStyle w:val="2"/>
        <w:rPr>
          <w:rFonts w:hint="eastAsia"/>
        </w:rPr>
      </w:pPr>
      <w:r>
        <w:rPr>
          <w:rFonts w:hint="eastAsia"/>
        </w:rPr>
        <w:t xml:space="preserve">expiratory flow between 25% and 75% of vital capacity predicted values. Although </w:t>
      </w:r>
    </w:p>
    <w:p w14:paraId="55B24707">
      <w:pPr>
        <w:pStyle w:val="2"/>
        <w:rPr>
          <w:rFonts w:hint="eastAsia"/>
        </w:rPr>
      </w:pPr>
      <w:r>
        <w:rPr>
          <w:rFonts w:hint="eastAsia"/>
        </w:rPr>
        <w:t xml:space="preserve">the greatest gains occurred during the first 12 weeks, several outcomes </w:t>
      </w:r>
    </w:p>
    <w:p w14:paraId="398C6066">
      <w:pPr>
        <w:pStyle w:val="2"/>
        <w:rPr>
          <w:rFonts w:hint="eastAsia"/>
        </w:rPr>
      </w:pPr>
      <w:r>
        <w:rPr>
          <w:rFonts w:hint="eastAsia"/>
        </w:rPr>
        <w:t xml:space="preserve">continued to improve between 12 and 24 weeks. Change-score analysis demonstrated </w:t>
      </w:r>
    </w:p>
    <w:p w14:paraId="12BE270F">
      <w:pPr>
        <w:pStyle w:val="2"/>
        <w:rPr>
          <w:rFonts w:hint="eastAsia"/>
        </w:rPr>
      </w:pPr>
      <w:r>
        <w:rPr>
          <w:rFonts w:hint="eastAsia"/>
        </w:rPr>
        <w:t xml:space="preserve">comparable improvements between HBPR and HPR across most outcomes. This study </w:t>
      </w:r>
    </w:p>
    <w:p w14:paraId="3DFA93E6">
      <w:pPr>
        <w:pStyle w:val="2"/>
        <w:rPr>
          <w:rFonts w:hint="eastAsia"/>
        </w:rPr>
      </w:pPr>
      <w:r>
        <w:rPr>
          <w:rFonts w:hint="eastAsia"/>
        </w:rPr>
        <w:t xml:space="preserve">concluded that both home-based and HPR significantly improved clinical, </w:t>
      </w:r>
    </w:p>
    <w:p w14:paraId="1268B34E">
      <w:pPr>
        <w:pStyle w:val="2"/>
        <w:rPr>
          <w:rFonts w:hint="eastAsia"/>
        </w:rPr>
      </w:pPr>
      <w:r>
        <w:rPr>
          <w:rFonts w:hint="eastAsia"/>
        </w:rPr>
        <w:t xml:space="preserve">functional, psychological, and pulmonary outcomes in PTLD. Benefits extended </w:t>
      </w:r>
    </w:p>
    <w:p w14:paraId="22E8307C">
      <w:pPr>
        <w:pStyle w:val="2"/>
        <w:rPr>
          <w:rFonts w:hint="eastAsia"/>
        </w:rPr>
      </w:pPr>
      <w:r>
        <w:rPr>
          <w:rFonts w:hint="eastAsia"/>
        </w:rPr>
        <w:t xml:space="preserve">beyond 12 weeks, with comparable improvements observed between rehabilitation </w:t>
      </w:r>
    </w:p>
    <w:p w14:paraId="76F612E8">
      <w:pPr>
        <w:pStyle w:val="2"/>
        <w:rPr>
          <w:rFonts w:hint="eastAsia"/>
        </w:rPr>
      </w:pPr>
      <w:r>
        <w:rPr>
          <w:rFonts w:hint="eastAsia"/>
        </w:rPr>
        <w:t>strategies.</w:t>
      </w:r>
    </w:p>
    <w:p w14:paraId="3ACDC8C4">
      <w:pPr>
        <w:pStyle w:val="2"/>
        <w:rPr>
          <w:rFonts w:hint="eastAsia"/>
        </w:rPr>
      </w:pPr>
    </w:p>
    <w:p w14:paraId="36914D06">
      <w:pPr>
        <w:pStyle w:val="2"/>
        <w:rPr>
          <w:rFonts w:hint="eastAsia"/>
        </w:rPr>
      </w:pPr>
      <w:r>
        <w:rPr>
          <w:rFonts w:hint="eastAsia"/>
        </w:rPr>
        <w:t>DOI: 10.4081/monaldi.2026.3900</w:t>
      </w:r>
    </w:p>
    <w:p w14:paraId="0ABC2416">
      <w:pPr>
        <w:pStyle w:val="2"/>
        <w:rPr>
          <w:rFonts w:hint="eastAsia"/>
        </w:rPr>
      </w:pPr>
      <w:r>
        <w:rPr>
          <w:rFonts w:hint="eastAsia"/>
        </w:rPr>
        <w:t>PMID: 42841189</w:t>
      </w:r>
    </w:p>
    <w:p w14:paraId="62B103CC">
      <w:pPr>
        <w:pStyle w:val="2"/>
        <w:rPr>
          <w:rFonts w:hint="eastAsia"/>
        </w:rPr>
      </w:pPr>
    </w:p>
    <w:p w14:paraId="037B274F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4</w:t>
      </w:r>
      <w:r>
        <w:rPr>
          <w:rFonts w:hint="eastAsia"/>
          <w:b/>
          <w:bCs/>
          <w:color w:val="FF0000"/>
          <w:lang w:val="en-US" w:eastAsia="zh-CN"/>
        </w:rPr>
        <w:t>0</w:t>
      </w:r>
      <w:r>
        <w:rPr>
          <w:rFonts w:hint="eastAsia"/>
          <w:b/>
          <w:bCs/>
          <w:color w:val="FF0000"/>
        </w:rPr>
        <w:t>. Bull Math Biol. 2026 Oct 6;88(11):197. doi: 10.1007/s11538-026-01763-8.</w:t>
      </w:r>
    </w:p>
    <w:p w14:paraId="0F5E365D">
      <w:pPr>
        <w:pStyle w:val="2"/>
        <w:rPr>
          <w:rFonts w:hint="eastAsia"/>
        </w:rPr>
      </w:pPr>
    </w:p>
    <w:p w14:paraId="620AF9BC">
      <w:pPr>
        <w:pStyle w:val="2"/>
        <w:rPr>
          <w:rFonts w:hint="eastAsia"/>
        </w:rPr>
      </w:pPr>
      <w:r>
        <w:rPr>
          <w:rFonts w:hint="eastAsia"/>
        </w:rPr>
        <w:t xml:space="preserve">A Comparison of Mechanisms Driving Lesion Outcomes During Lung Tumor and </w:t>
      </w:r>
    </w:p>
    <w:p w14:paraId="5B6C6A3B">
      <w:pPr>
        <w:pStyle w:val="2"/>
        <w:rPr>
          <w:rFonts w:hint="eastAsia"/>
        </w:rPr>
      </w:pPr>
      <w:r>
        <w:rPr>
          <w:rFonts w:hint="eastAsia"/>
        </w:rPr>
        <w:t>Tuberculosis Granuloma Formation.</w:t>
      </w:r>
    </w:p>
    <w:p w14:paraId="4862EFCF">
      <w:pPr>
        <w:pStyle w:val="2"/>
        <w:rPr>
          <w:rFonts w:hint="eastAsia"/>
        </w:rPr>
      </w:pPr>
    </w:p>
    <w:p w14:paraId="7EBD6DA0">
      <w:pPr>
        <w:pStyle w:val="2"/>
        <w:rPr>
          <w:rFonts w:hint="eastAsia"/>
        </w:rPr>
      </w:pPr>
      <w:r>
        <w:rPr>
          <w:rFonts w:hint="eastAsia"/>
        </w:rPr>
        <w:t>Michael CT(1), Budak M(1), Kirschner D(2).</w:t>
      </w:r>
    </w:p>
    <w:p w14:paraId="7E1EB410">
      <w:pPr>
        <w:pStyle w:val="2"/>
        <w:rPr>
          <w:rFonts w:hint="eastAsia"/>
        </w:rPr>
      </w:pPr>
    </w:p>
    <w:p w14:paraId="3BE226E5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057E6515">
      <w:pPr>
        <w:pStyle w:val="2"/>
        <w:rPr>
          <w:rFonts w:hint="eastAsia"/>
        </w:rPr>
      </w:pPr>
      <w:r>
        <w:rPr>
          <w:rFonts w:hint="eastAsia"/>
        </w:rPr>
        <w:t xml:space="preserve">(1)Kirschner Lab, Department of Microbiology &amp; Immunology, University of </w:t>
      </w:r>
    </w:p>
    <w:p w14:paraId="7C18A3E3">
      <w:pPr>
        <w:pStyle w:val="2"/>
        <w:rPr>
          <w:rFonts w:hint="eastAsia"/>
        </w:rPr>
      </w:pPr>
      <w:r>
        <w:rPr>
          <w:rFonts w:hint="eastAsia"/>
        </w:rPr>
        <w:t>Michigan - Michigan Medicine, Ann Arbor, MI, USA.</w:t>
      </w:r>
    </w:p>
    <w:p w14:paraId="0D8AC5B8">
      <w:pPr>
        <w:pStyle w:val="2"/>
        <w:rPr>
          <w:rFonts w:hint="eastAsia"/>
        </w:rPr>
      </w:pPr>
      <w:r>
        <w:rPr>
          <w:rFonts w:hint="eastAsia"/>
        </w:rPr>
        <w:t xml:space="preserve">(2)Kirschner Lab, Department of Microbiology &amp; Immunology, University of </w:t>
      </w:r>
    </w:p>
    <w:p w14:paraId="41E210D4">
      <w:pPr>
        <w:pStyle w:val="2"/>
        <w:rPr>
          <w:rFonts w:hint="eastAsia"/>
        </w:rPr>
      </w:pPr>
      <w:r>
        <w:rPr>
          <w:rFonts w:hint="eastAsia"/>
        </w:rPr>
        <w:t>Michigan - Michigan Medicine, Ann Arbor, MI, USA. kirschne@umich.edu.</w:t>
      </w:r>
    </w:p>
    <w:p w14:paraId="15B98D08">
      <w:pPr>
        <w:pStyle w:val="2"/>
        <w:rPr>
          <w:rFonts w:hint="eastAsia"/>
        </w:rPr>
      </w:pPr>
    </w:p>
    <w:p w14:paraId="75AFDCE9">
      <w:pPr>
        <w:pStyle w:val="2"/>
        <w:rPr>
          <w:rFonts w:hint="eastAsia"/>
        </w:rPr>
      </w:pPr>
      <w:r>
        <w:rPr>
          <w:rFonts w:hint="eastAsia"/>
        </w:rPr>
        <w:t xml:space="preserve">Small cell lung cancer (SCLC) and tuberculosis (TB) are both deadly diseases </w:t>
      </w:r>
    </w:p>
    <w:p w14:paraId="24C0871A">
      <w:pPr>
        <w:pStyle w:val="2"/>
        <w:rPr>
          <w:rFonts w:hint="eastAsia"/>
        </w:rPr>
      </w:pPr>
      <w:r>
        <w:rPr>
          <w:rFonts w:hint="eastAsia"/>
        </w:rPr>
        <w:t xml:space="preserve">that present with spatially complex lung lesions. These lesions share </w:t>
      </w:r>
    </w:p>
    <w:p w14:paraId="5364EED6">
      <w:pPr>
        <w:pStyle w:val="2"/>
        <w:rPr>
          <w:rFonts w:hint="eastAsia"/>
        </w:rPr>
      </w:pPr>
      <w:r>
        <w:rPr>
          <w:rFonts w:hint="eastAsia"/>
        </w:rPr>
        <w:t xml:space="preserve">similarities, including spatial interactions between T cells and macrophages. </w:t>
      </w:r>
    </w:p>
    <w:p w14:paraId="1B5BC622">
      <w:pPr>
        <w:pStyle w:val="2"/>
        <w:rPr>
          <w:rFonts w:hint="eastAsia"/>
        </w:rPr>
      </w:pPr>
      <w:r>
        <w:rPr>
          <w:rFonts w:hint="eastAsia"/>
        </w:rPr>
        <w:t xml:space="preserve">Both SCLC and TB exhibit heterogeneous disease progression and responses to </w:t>
      </w:r>
    </w:p>
    <w:p w14:paraId="17B20452">
      <w:pPr>
        <w:pStyle w:val="2"/>
        <w:rPr>
          <w:rFonts w:hint="eastAsia"/>
        </w:rPr>
      </w:pPr>
      <w:r>
        <w:rPr>
          <w:rFonts w:hint="eastAsia"/>
        </w:rPr>
        <w:t xml:space="preserve">treatment; current experimental methods have few tools to investigate the </w:t>
      </w:r>
    </w:p>
    <w:p w14:paraId="61292AF9">
      <w:pPr>
        <w:pStyle w:val="2"/>
        <w:rPr>
          <w:rFonts w:hint="eastAsia"/>
        </w:rPr>
      </w:pPr>
      <w:r>
        <w:rPr>
          <w:rFonts w:hint="eastAsia"/>
        </w:rPr>
        <w:t xml:space="preserve">spatiotemporal evolution of these lesions within human lungs. We have applied </w:t>
      </w:r>
    </w:p>
    <w:p w14:paraId="24437CC5">
      <w:pPr>
        <w:pStyle w:val="2"/>
        <w:rPr>
          <w:rFonts w:hint="eastAsia"/>
        </w:rPr>
      </w:pPr>
      <w:r>
        <w:rPr>
          <w:rFonts w:hint="eastAsia"/>
        </w:rPr>
        <w:t xml:space="preserve">our computational agent-based model (ABM), GranSim, to extensively study </w:t>
      </w:r>
    </w:p>
    <w:p w14:paraId="104332C8">
      <w:pPr>
        <w:pStyle w:val="2"/>
        <w:rPr>
          <w:rFonts w:hint="eastAsia"/>
        </w:rPr>
      </w:pPr>
      <w:r>
        <w:rPr>
          <w:rFonts w:hint="eastAsia"/>
        </w:rPr>
        <w:t xml:space="preserve">heterogeneity of TB granuloma formation and treatment efficacy. We introduce </w:t>
      </w:r>
    </w:p>
    <w:p w14:paraId="3B0670AD">
      <w:pPr>
        <w:pStyle w:val="2"/>
        <w:rPr>
          <w:rFonts w:hint="eastAsia"/>
        </w:rPr>
      </w:pPr>
      <w:r>
        <w:rPr>
          <w:rFonts w:hint="eastAsia"/>
        </w:rPr>
        <w:t xml:space="preserve">TumorSim, an analogous ABM designed to understand heterogeneity of SCLC lung </w:t>
      </w:r>
    </w:p>
    <w:p w14:paraId="4BB9246D">
      <w:pPr>
        <w:pStyle w:val="2"/>
        <w:rPr>
          <w:rFonts w:hint="eastAsia"/>
        </w:rPr>
      </w:pPr>
      <w:r>
        <w:rPr>
          <w:rFonts w:hint="eastAsia"/>
        </w:rPr>
        <w:t xml:space="preserve">tumors. TumorSim mechanistically captures immune-tumor interactions, many of </w:t>
      </w:r>
    </w:p>
    <w:p w14:paraId="700C6504">
      <w:pPr>
        <w:pStyle w:val="2"/>
        <w:rPr>
          <w:rFonts w:hint="eastAsia"/>
        </w:rPr>
      </w:pPr>
      <w:r>
        <w:rPr>
          <w:rFonts w:hint="eastAsia"/>
        </w:rPr>
        <w:t xml:space="preserve">which are well-studied in isolation, including cytokine-based recruitment of </w:t>
      </w:r>
    </w:p>
    <w:p w14:paraId="78B73C83">
      <w:pPr>
        <w:pStyle w:val="2"/>
        <w:rPr>
          <w:rFonts w:hint="eastAsia"/>
        </w:rPr>
      </w:pPr>
      <w:r>
        <w:rPr>
          <w:rFonts w:hint="eastAsia"/>
        </w:rPr>
        <w:t xml:space="preserve">immune cells and PD-1/PD-L1-based inhibition of cytotoxic T cells. Drawing from </w:t>
      </w:r>
    </w:p>
    <w:p w14:paraId="13F4970F">
      <w:pPr>
        <w:pStyle w:val="2"/>
        <w:rPr>
          <w:rFonts w:hint="eastAsia"/>
        </w:rPr>
      </w:pPr>
      <w:r>
        <w:rPr>
          <w:rFonts w:hint="eastAsia"/>
        </w:rPr>
        <w:t xml:space="preserve">lung immunology literature, we define and explore wide parameter ranges to </w:t>
      </w:r>
    </w:p>
    <w:p w14:paraId="00C32F79">
      <w:pPr>
        <w:pStyle w:val="2"/>
        <w:rPr>
          <w:rFonts w:hint="eastAsia"/>
        </w:rPr>
      </w:pPr>
      <w:r>
        <w:rPr>
          <w:rFonts w:hint="eastAsia"/>
        </w:rPr>
        <w:t xml:space="preserve">characterize TumorSim behavior using global sensitivity analysis. We compare </w:t>
      </w:r>
    </w:p>
    <w:p w14:paraId="2C3E7353">
      <w:pPr>
        <w:pStyle w:val="2"/>
        <w:rPr>
          <w:rFonts w:hint="eastAsia"/>
        </w:rPr>
      </w:pPr>
      <w:r>
        <w:rPr>
          <w:rFonts w:hint="eastAsia"/>
        </w:rPr>
        <w:t xml:space="preserve">factors that drive both tumor and granuloma outcomes. As model validation, </w:t>
      </w:r>
    </w:p>
    <w:p w14:paraId="5360C677">
      <w:pPr>
        <w:pStyle w:val="2"/>
        <w:rPr>
          <w:rFonts w:hint="eastAsia"/>
        </w:rPr>
      </w:pPr>
      <w:r>
        <w:rPr>
          <w:rFonts w:hint="eastAsia"/>
        </w:rPr>
        <w:t xml:space="preserve">sensitivity analysis captures several well-known correlates of improved SCLC </w:t>
      </w:r>
    </w:p>
    <w:p w14:paraId="1271FD7F">
      <w:pPr>
        <w:pStyle w:val="2"/>
        <w:rPr>
          <w:rFonts w:hint="eastAsia"/>
        </w:rPr>
      </w:pPr>
      <w:r>
        <w:rPr>
          <w:rFonts w:hint="eastAsia"/>
        </w:rPr>
        <w:t xml:space="preserve">outcomes including macrophage-mediated cytotoxic T-cell recruitment. </w:t>
      </w:r>
    </w:p>
    <w:p w14:paraId="7C9520F7">
      <w:pPr>
        <w:pStyle w:val="2"/>
        <w:rPr>
          <w:rFonts w:hint="eastAsia"/>
        </w:rPr>
      </w:pPr>
      <w:r>
        <w:rPr>
          <w:rFonts w:hint="eastAsia"/>
        </w:rPr>
        <w:t xml:space="preserve">Surprisingly, both models predict a two-phase formation process occurring with </w:t>
      </w:r>
    </w:p>
    <w:p w14:paraId="57235CD2">
      <w:pPr>
        <w:pStyle w:val="2"/>
        <w:rPr>
          <w:rFonts w:hint="eastAsia"/>
        </w:rPr>
      </w:pPr>
      <w:r>
        <w:rPr>
          <w:rFonts w:hint="eastAsia"/>
        </w:rPr>
        <w:t xml:space="preserve">an abrupt change in tumor/granuloma dynamics upon arrival of adaptive immune </w:t>
      </w:r>
    </w:p>
    <w:p w14:paraId="3D63C949">
      <w:pPr>
        <w:pStyle w:val="2"/>
        <w:rPr>
          <w:rFonts w:hint="eastAsia"/>
        </w:rPr>
      </w:pPr>
      <w:r>
        <w:rPr>
          <w:rFonts w:hint="eastAsia"/>
        </w:rPr>
        <w:t xml:space="preserve">cells into the lung. Simulations suggest that while C-C motif chemokine ligand 5 </w:t>
      </w:r>
    </w:p>
    <w:p w14:paraId="6D29DB81">
      <w:pPr>
        <w:pStyle w:val="2"/>
        <w:rPr>
          <w:rFonts w:hint="eastAsia"/>
        </w:rPr>
      </w:pPr>
      <w:r>
        <w:rPr>
          <w:rFonts w:hint="eastAsia"/>
        </w:rPr>
        <w:t xml:space="preserve">(CCL5) is associated with improved tumor control later during tumor growth, CCL5 </w:t>
      </w:r>
    </w:p>
    <w:p w14:paraId="7C8D6E29">
      <w:pPr>
        <w:pStyle w:val="2"/>
        <w:rPr>
          <w:rFonts w:hint="eastAsia"/>
        </w:rPr>
      </w:pPr>
      <w:r>
        <w:rPr>
          <w:rFonts w:hint="eastAsia"/>
        </w:rPr>
        <w:t xml:space="preserve">plays a pro-tumor role early during tumor growth by recruiting regulatory T </w:t>
      </w:r>
    </w:p>
    <w:p w14:paraId="1BE6B18D">
      <w:pPr>
        <w:pStyle w:val="2"/>
        <w:rPr>
          <w:rFonts w:hint="eastAsia"/>
        </w:rPr>
      </w:pPr>
      <w:r>
        <w:rPr>
          <w:rFonts w:hint="eastAsia"/>
        </w:rPr>
        <w:t xml:space="preserve">cells. We find that, like virtual granulomas, TumorSim tumors become enlarged </w:t>
      </w:r>
    </w:p>
    <w:p w14:paraId="7FF6ADF0">
      <w:pPr>
        <w:pStyle w:val="2"/>
        <w:rPr>
          <w:rFonts w:hint="eastAsia"/>
        </w:rPr>
      </w:pPr>
      <w:r>
        <w:rPr>
          <w:rFonts w:hint="eastAsia"/>
        </w:rPr>
        <w:t xml:space="preserve">when immunosuppressive mechanisms outweigh pro-inflammatory responses. This </w:t>
      </w:r>
    </w:p>
    <w:p w14:paraId="418DD3C5">
      <w:pPr>
        <w:pStyle w:val="2"/>
        <w:rPr>
          <w:rFonts w:hint="eastAsia"/>
        </w:rPr>
      </w:pPr>
      <w:r>
        <w:rPr>
          <w:rFonts w:hint="eastAsia"/>
        </w:rPr>
        <w:t xml:space="preserve">novel tumor model enables future studies of both immunotherapeutics and </w:t>
      </w:r>
    </w:p>
    <w:p w14:paraId="3838BAF0">
      <w:pPr>
        <w:pStyle w:val="2"/>
        <w:rPr>
          <w:rFonts w:hint="eastAsia"/>
        </w:rPr>
      </w:pPr>
      <w:r>
        <w:rPr>
          <w:rFonts w:hint="eastAsia"/>
        </w:rPr>
        <w:t>anti-cancer drugs.</w:t>
      </w:r>
    </w:p>
    <w:p w14:paraId="619C0269">
      <w:pPr>
        <w:pStyle w:val="2"/>
        <w:rPr>
          <w:rFonts w:hint="eastAsia"/>
        </w:rPr>
      </w:pPr>
    </w:p>
    <w:p w14:paraId="01A949A5">
      <w:pPr>
        <w:pStyle w:val="2"/>
        <w:rPr>
          <w:rFonts w:hint="eastAsia"/>
        </w:rPr>
      </w:pPr>
      <w:r>
        <w:rPr>
          <w:rFonts w:hint="eastAsia"/>
        </w:rPr>
        <w:t>© 2026. The Author(s).</w:t>
      </w:r>
    </w:p>
    <w:p w14:paraId="5DF10A0B">
      <w:pPr>
        <w:pStyle w:val="2"/>
        <w:rPr>
          <w:rFonts w:hint="eastAsia"/>
        </w:rPr>
      </w:pPr>
    </w:p>
    <w:p w14:paraId="677661A4">
      <w:pPr>
        <w:pStyle w:val="2"/>
        <w:rPr>
          <w:rFonts w:hint="eastAsia"/>
        </w:rPr>
      </w:pPr>
      <w:r>
        <w:rPr>
          <w:rFonts w:hint="eastAsia"/>
        </w:rPr>
        <w:t>DOI: 10.1007/s11538-026-01763-8</w:t>
      </w:r>
    </w:p>
    <w:p w14:paraId="1377877A">
      <w:pPr>
        <w:pStyle w:val="2"/>
        <w:rPr>
          <w:rFonts w:hint="eastAsia"/>
        </w:rPr>
      </w:pPr>
      <w:r>
        <w:rPr>
          <w:rFonts w:hint="eastAsia"/>
        </w:rPr>
        <w:t>PMCID: PMC13642502</w:t>
      </w:r>
    </w:p>
    <w:p w14:paraId="63097AD1">
      <w:pPr>
        <w:pStyle w:val="2"/>
        <w:rPr>
          <w:rFonts w:hint="eastAsia"/>
        </w:rPr>
      </w:pPr>
      <w:r>
        <w:rPr>
          <w:rFonts w:hint="eastAsia"/>
        </w:rPr>
        <w:t>PMID: 42839156 [Indexed for MEDLINE]</w:t>
      </w:r>
    </w:p>
    <w:p w14:paraId="35B5CE03">
      <w:pPr>
        <w:pStyle w:val="2"/>
        <w:rPr>
          <w:rFonts w:hint="eastAsia"/>
        </w:rPr>
      </w:pPr>
    </w:p>
    <w:p w14:paraId="118FFFE5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4</w:t>
      </w:r>
      <w:r>
        <w:rPr>
          <w:rFonts w:hint="eastAsia"/>
          <w:b/>
          <w:bCs/>
          <w:color w:val="FF0000"/>
          <w:lang w:val="en-US" w:eastAsia="zh-CN"/>
        </w:rPr>
        <w:t>1</w:t>
      </w:r>
      <w:r>
        <w:rPr>
          <w:rFonts w:hint="eastAsia"/>
          <w:b/>
          <w:bCs/>
          <w:color w:val="FF0000"/>
        </w:rPr>
        <w:t>. Transl Res. 2026 Oct 6;298:99-107. doi: 10.1016/j.trsl.2026.10.002. Online ahead of print.</w:t>
      </w:r>
    </w:p>
    <w:p w14:paraId="69A961F8">
      <w:pPr>
        <w:pStyle w:val="2"/>
        <w:rPr>
          <w:rFonts w:hint="eastAsia"/>
        </w:rPr>
      </w:pPr>
    </w:p>
    <w:p w14:paraId="084EAC44">
      <w:pPr>
        <w:pStyle w:val="2"/>
        <w:rPr>
          <w:rFonts w:hint="eastAsia"/>
        </w:rPr>
      </w:pPr>
      <w:r>
        <w:rPr>
          <w:rFonts w:hint="eastAsia"/>
        </w:rPr>
        <w:t xml:space="preserve">Identification of plasma immune markers associated with latent tuberculosis </w:t>
      </w:r>
    </w:p>
    <w:p w14:paraId="44C9686E">
      <w:pPr>
        <w:pStyle w:val="2"/>
        <w:rPr>
          <w:rFonts w:hint="eastAsia"/>
        </w:rPr>
      </w:pPr>
      <w:r>
        <w:rPr>
          <w:rFonts w:hint="eastAsia"/>
        </w:rPr>
        <w:t xml:space="preserve">conversion in HIV-infected individuals who received isoniazid preventive </w:t>
      </w:r>
    </w:p>
    <w:p w14:paraId="29CFC62B">
      <w:pPr>
        <w:pStyle w:val="2"/>
        <w:rPr>
          <w:rFonts w:hint="eastAsia"/>
        </w:rPr>
      </w:pPr>
      <w:r>
        <w:rPr>
          <w:rFonts w:hint="eastAsia"/>
        </w:rPr>
        <w:t>therapy.</w:t>
      </w:r>
    </w:p>
    <w:p w14:paraId="7E9D0500">
      <w:pPr>
        <w:pStyle w:val="2"/>
        <w:rPr>
          <w:rFonts w:hint="eastAsia"/>
        </w:rPr>
      </w:pPr>
    </w:p>
    <w:p w14:paraId="653175B8">
      <w:pPr>
        <w:pStyle w:val="2"/>
        <w:rPr>
          <w:rFonts w:hint="eastAsia"/>
        </w:rPr>
      </w:pPr>
      <w:r>
        <w:rPr>
          <w:rFonts w:hint="eastAsia"/>
        </w:rPr>
        <w:t xml:space="preserve">Kumar NP(1), Mohan G(2), Vanamudhu A(2), K S(2), T K(3), Silvester YS(2), Kumar </w:t>
      </w:r>
    </w:p>
    <w:p w14:paraId="578F23BB">
      <w:pPr>
        <w:pStyle w:val="2"/>
        <w:rPr>
          <w:rFonts w:hint="eastAsia"/>
        </w:rPr>
      </w:pPr>
      <w:r>
        <w:rPr>
          <w:rFonts w:hint="eastAsia"/>
        </w:rPr>
        <w:t>BS(4), M J(4), Kumar V(5), S V(5), Sekar(6), R K(6), Babu S(7), Hissar S(8).</w:t>
      </w:r>
    </w:p>
    <w:p w14:paraId="5D940BEA">
      <w:pPr>
        <w:pStyle w:val="2"/>
        <w:rPr>
          <w:rFonts w:hint="eastAsia"/>
        </w:rPr>
      </w:pPr>
    </w:p>
    <w:p w14:paraId="57D6E937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54AE2DB7">
      <w:pPr>
        <w:pStyle w:val="2"/>
        <w:rPr>
          <w:rFonts w:hint="eastAsia"/>
        </w:rPr>
      </w:pPr>
      <w:r>
        <w:rPr>
          <w:rFonts w:hint="eastAsia"/>
        </w:rPr>
        <w:t xml:space="preserve">(1)Indian Council of Medical Research-National Institute for Research in </w:t>
      </w:r>
    </w:p>
    <w:p w14:paraId="5E13E019">
      <w:pPr>
        <w:pStyle w:val="2"/>
        <w:rPr>
          <w:rFonts w:hint="eastAsia"/>
        </w:rPr>
      </w:pPr>
      <w:r>
        <w:rPr>
          <w:rFonts w:hint="eastAsia"/>
        </w:rPr>
        <w:t>Tuberculosis, Chennai, India. Electronic address: nathella.pk@icmr.gov.in.</w:t>
      </w:r>
    </w:p>
    <w:p w14:paraId="57F9A4E8">
      <w:pPr>
        <w:pStyle w:val="2"/>
        <w:rPr>
          <w:rFonts w:hint="eastAsia"/>
        </w:rPr>
      </w:pPr>
      <w:r>
        <w:rPr>
          <w:rFonts w:hint="eastAsia"/>
        </w:rPr>
        <w:t xml:space="preserve">(2)Indian Council of Medical Research-National Institute for Research in </w:t>
      </w:r>
    </w:p>
    <w:p w14:paraId="284852EF">
      <w:pPr>
        <w:pStyle w:val="2"/>
        <w:rPr>
          <w:rFonts w:hint="eastAsia"/>
        </w:rPr>
      </w:pPr>
      <w:r>
        <w:rPr>
          <w:rFonts w:hint="eastAsia"/>
        </w:rPr>
        <w:t>Tuberculosis, Chennai, India.</w:t>
      </w:r>
    </w:p>
    <w:p w14:paraId="747351D4">
      <w:pPr>
        <w:pStyle w:val="2"/>
        <w:rPr>
          <w:rFonts w:hint="eastAsia"/>
        </w:rPr>
      </w:pPr>
      <w:r>
        <w:rPr>
          <w:rFonts w:hint="eastAsia"/>
        </w:rPr>
        <w:t>(3)ICMR- Vector Control Research Centre, Chennai, India.</w:t>
      </w:r>
    </w:p>
    <w:p w14:paraId="1FEC494C">
      <w:pPr>
        <w:pStyle w:val="2"/>
        <w:rPr>
          <w:rFonts w:hint="eastAsia"/>
        </w:rPr>
      </w:pPr>
      <w:r>
        <w:rPr>
          <w:rFonts w:hint="eastAsia"/>
        </w:rPr>
        <w:t>(4)Tamil Nadu State AIDS Control Society, Chennai, India.</w:t>
      </w:r>
    </w:p>
    <w:p w14:paraId="685509CC">
      <w:pPr>
        <w:pStyle w:val="2"/>
        <w:rPr>
          <w:rFonts w:hint="eastAsia"/>
        </w:rPr>
      </w:pPr>
      <w:r>
        <w:rPr>
          <w:rFonts w:hint="eastAsia"/>
        </w:rPr>
        <w:t>(5)Govt. Hospital of Thoracic Medicine, Chennai, India.</w:t>
      </w:r>
    </w:p>
    <w:p w14:paraId="431D5EE1">
      <w:pPr>
        <w:pStyle w:val="2"/>
        <w:rPr>
          <w:rFonts w:hint="eastAsia"/>
        </w:rPr>
      </w:pPr>
      <w:r>
        <w:rPr>
          <w:rFonts w:hint="eastAsia"/>
        </w:rPr>
        <w:t>(6)Rajiv Gandhi Govt. General Hospital, Chennai, India.</w:t>
      </w:r>
    </w:p>
    <w:p w14:paraId="0512CF9A">
      <w:pPr>
        <w:pStyle w:val="2"/>
        <w:rPr>
          <w:rFonts w:hint="eastAsia"/>
        </w:rPr>
      </w:pPr>
      <w:r>
        <w:rPr>
          <w:rFonts w:hint="eastAsia"/>
        </w:rPr>
        <w:t xml:space="preserve">(7)National Institutes of Health-National Institute for Research in </w:t>
      </w:r>
    </w:p>
    <w:p w14:paraId="298B0CDF">
      <w:pPr>
        <w:pStyle w:val="2"/>
        <w:rPr>
          <w:rFonts w:hint="eastAsia"/>
        </w:rPr>
      </w:pPr>
      <w:r>
        <w:rPr>
          <w:rFonts w:hint="eastAsia"/>
        </w:rPr>
        <w:t>Tuberculosis-International Center for Excellence in Research, Chennai, India.</w:t>
      </w:r>
    </w:p>
    <w:p w14:paraId="252A6EEC">
      <w:pPr>
        <w:pStyle w:val="2"/>
        <w:rPr>
          <w:rFonts w:hint="eastAsia"/>
        </w:rPr>
      </w:pPr>
      <w:r>
        <w:rPr>
          <w:rFonts w:hint="eastAsia"/>
        </w:rPr>
        <w:t xml:space="preserve">(8)Indian Council of Medical Research-National Institute for Research in </w:t>
      </w:r>
    </w:p>
    <w:p w14:paraId="26A5C4FB">
      <w:pPr>
        <w:pStyle w:val="2"/>
        <w:rPr>
          <w:rFonts w:hint="eastAsia"/>
        </w:rPr>
      </w:pPr>
      <w:r>
        <w:rPr>
          <w:rFonts w:hint="eastAsia"/>
        </w:rPr>
        <w:t>Tuberculosis, Chennai, India. Electronic address: syed.hissar@icmr.gov.in.</w:t>
      </w:r>
    </w:p>
    <w:p w14:paraId="4A95C73C">
      <w:pPr>
        <w:pStyle w:val="2"/>
        <w:rPr>
          <w:rFonts w:hint="eastAsia"/>
        </w:rPr>
      </w:pPr>
    </w:p>
    <w:p w14:paraId="690CBC79">
      <w:pPr>
        <w:pStyle w:val="2"/>
        <w:rPr>
          <w:rFonts w:hint="eastAsia"/>
        </w:rPr>
      </w:pPr>
      <w:r>
        <w:rPr>
          <w:rFonts w:hint="eastAsia"/>
        </w:rPr>
        <w:t xml:space="preserve">Tuberculosis remains a major risk for people living with HIV, even those on </w:t>
      </w:r>
    </w:p>
    <w:p w14:paraId="1AAEA4CD">
      <w:pPr>
        <w:pStyle w:val="2"/>
        <w:rPr>
          <w:rFonts w:hint="eastAsia"/>
        </w:rPr>
      </w:pPr>
      <w:r>
        <w:rPr>
          <w:rFonts w:hint="eastAsia"/>
        </w:rPr>
        <w:t xml:space="preserve">antiretroviral therapy, due to increased susceptibility to latent TB infection. </w:t>
      </w:r>
    </w:p>
    <w:p w14:paraId="69C207EC">
      <w:pPr>
        <w:pStyle w:val="2"/>
        <w:rPr>
          <w:rFonts w:hint="eastAsia"/>
        </w:rPr>
      </w:pPr>
      <w:r>
        <w:rPr>
          <w:rFonts w:hint="eastAsia"/>
        </w:rPr>
        <w:t xml:space="preserve">Identifying immune signatures that distinguish progression from resistance is </w:t>
      </w:r>
    </w:p>
    <w:p w14:paraId="42FAE463">
      <w:pPr>
        <w:pStyle w:val="2"/>
        <w:rPr>
          <w:rFonts w:hint="eastAsia"/>
        </w:rPr>
      </w:pPr>
      <w:r>
        <w:rPr>
          <w:rFonts w:hint="eastAsia"/>
        </w:rPr>
        <w:t xml:space="preserve">critical for developing predictive biomarkers and targeted prevention </w:t>
      </w:r>
    </w:p>
    <w:p w14:paraId="7FFC6261">
      <w:pPr>
        <w:pStyle w:val="2"/>
        <w:rPr>
          <w:rFonts w:hint="eastAsia"/>
        </w:rPr>
      </w:pPr>
      <w:r>
        <w:rPr>
          <w:rFonts w:hint="eastAsia"/>
        </w:rPr>
        <w:t xml:space="preserve">strategies. In this study, 80 HIV-infected adults on antiretroviral therapy who </w:t>
      </w:r>
    </w:p>
    <w:p w14:paraId="59B518E2">
      <w:pPr>
        <w:pStyle w:val="2"/>
        <w:rPr>
          <w:rFonts w:hint="eastAsia"/>
        </w:rPr>
      </w:pPr>
      <w:r>
        <w:rPr>
          <w:rFonts w:hint="eastAsia"/>
        </w:rPr>
        <w:t xml:space="preserve">received isoniazid preventive therapy (IPT) were followed for six months and </w:t>
      </w:r>
    </w:p>
    <w:p w14:paraId="71787028">
      <w:pPr>
        <w:pStyle w:val="2"/>
        <w:rPr>
          <w:rFonts w:hint="eastAsia"/>
        </w:rPr>
      </w:pPr>
      <w:r>
        <w:rPr>
          <w:rFonts w:hint="eastAsia"/>
        </w:rPr>
        <w:t xml:space="preserve">categorized as Progressors, Sustainers, Converters, or Resisters based on serial </w:t>
      </w:r>
    </w:p>
    <w:p w14:paraId="271326CE">
      <w:pPr>
        <w:pStyle w:val="2"/>
        <w:rPr>
          <w:rFonts w:hint="eastAsia"/>
        </w:rPr>
      </w:pPr>
      <w:r>
        <w:rPr>
          <w:rFonts w:hint="eastAsia"/>
        </w:rPr>
        <w:t xml:space="preserve">QuantiFERON-TB results. Plasma levels of cytokines, chemokines, and growth </w:t>
      </w:r>
    </w:p>
    <w:p w14:paraId="61AC54C6">
      <w:pPr>
        <w:pStyle w:val="2"/>
        <w:rPr>
          <w:rFonts w:hint="eastAsia"/>
        </w:rPr>
      </w:pPr>
      <w:r>
        <w:rPr>
          <w:rFonts w:hint="eastAsia"/>
        </w:rPr>
        <w:t xml:space="preserve">factors were analyzed using a Luminex assay, alongside machine learning and </w:t>
      </w:r>
    </w:p>
    <w:p w14:paraId="1FC60D5D">
      <w:pPr>
        <w:pStyle w:val="2"/>
        <w:rPr>
          <w:rFonts w:hint="eastAsia"/>
        </w:rPr>
      </w:pPr>
      <w:r>
        <w:rPr>
          <w:rFonts w:hint="eastAsia"/>
        </w:rPr>
        <w:t xml:space="preserve">pathway analyses. Progressors and Sustainers exhibited elevated proinflammatory </w:t>
      </w:r>
    </w:p>
    <w:p w14:paraId="08571384">
      <w:pPr>
        <w:pStyle w:val="2"/>
        <w:rPr>
          <w:rFonts w:hint="eastAsia"/>
        </w:rPr>
      </w:pPr>
      <w:r>
        <w:rPr>
          <w:rFonts w:hint="eastAsia"/>
        </w:rPr>
        <w:t xml:space="preserve">cytokines, chemokines, and growth factors, while Resisters showed dynamic immune </w:t>
      </w:r>
    </w:p>
    <w:p w14:paraId="0394411C">
      <w:pPr>
        <w:pStyle w:val="2"/>
        <w:rPr>
          <w:rFonts w:hint="eastAsia"/>
        </w:rPr>
      </w:pPr>
      <w:r>
        <w:rPr>
          <w:rFonts w:hint="eastAsia"/>
        </w:rPr>
        <w:t xml:space="preserve">modulation following preventive therapy. Key predictors of progression included </w:t>
      </w:r>
    </w:p>
    <w:p w14:paraId="54CF2F97">
      <w:pPr>
        <w:pStyle w:val="2"/>
        <w:rPr>
          <w:rFonts w:hint="eastAsia"/>
        </w:rPr>
      </w:pPr>
      <w:r>
        <w:rPr>
          <w:rFonts w:hint="eastAsia"/>
        </w:rPr>
        <w:t xml:space="preserve">PD-L1, TNF-α, IL-17A, and FGF2. Network and pathway analyses highlighted </w:t>
      </w:r>
    </w:p>
    <w:p w14:paraId="005D9007">
      <w:pPr>
        <w:pStyle w:val="2"/>
        <w:rPr>
          <w:rFonts w:hint="eastAsia"/>
        </w:rPr>
      </w:pPr>
      <w:r>
        <w:rPr>
          <w:rFonts w:hint="eastAsia"/>
        </w:rPr>
        <w:t xml:space="preserve">persistent inflammatory signaling in Progressors and adaptive immune regulation </w:t>
      </w:r>
    </w:p>
    <w:p w14:paraId="181AF646">
      <w:pPr>
        <w:pStyle w:val="2"/>
        <w:rPr>
          <w:rFonts w:hint="eastAsia"/>
        </w:rPr>
      </w:pPr>
      <w:r>
        <w:rPr>
          <w:rFonts w:hint="eastAsia"/>
        </w:rPr>
        <w:t xml:space="preserve">in Resisters. Findings suggest distinct immune profiles associated with TB risk, </w:t>
      </w:r>
    </w:p>
    <w:p w14:paraId="3BC6BDB4">
      <w:pPr>
        <w:pStyle w:val="2"/>
        <w:rPr>
          <w:rFonts w:hint="eastAsia"/>
        </w:rPr>
      </w:pPr>
      <w:r>
        <w:rPr>
          <w:rFonts w:hint="eastAsia"/>
        </w:rPr>
        <w:t>offering potential for improved prediction and targeted interventions.</w:t>
      </w:r>
    </w:p>
    <w:p w14:paraId="25DCAD97">
      <w:pPr>
        <w:pStyle w:val="2"/>
        <w:rPr>
          <w:rFonts w:hint="eastAsia"/>
        </w:rPr>
      </w:pPr>
    </w:p>
    <w:p w14:paraId="4973699E">
      <w:pPr>
        <w:pStyle w:val="2"/>
        <w:rPr>
          <w:rFonts w:hint="eastAsia"/>
        </w:rPr>
      </w:pPr>
      <w:r>
        <w:rPr>
          <w:rFonts w:hint="eastAsia"/>
        </w:rPr>
        <w:t>Copyright © 2026 Elsevier Inc. All rights reserved.</w:t>
      </w:r>
    </w:p>
    <w:p w14:paraId="258D6727">
      <w:pPr>
        <w:pStyle w:val="2"/>
        <w:rPr>
          <w:rFonts w:hint="eastAsia"/>
        </w:rPr>
      </w:pPr>
    </w:p>
    <w:p w14:paraId="45E9CEAE">
      <w:pPr>
        <w:pStyle w:val="2"/>
        <w:rPr>
          <w:rFonts w:hint="eastAsia"/>
        </w:rPr>
      </w:pPr>
      <w:r>
        <w:rPr>
          <w:rFonts w:hint="eastAsia"/>
        </w:rPr>
        <w:t>DOI: 10.1016/j.trsl.2026.10.002</w:t>
      </w:r>
    </w:p>
    <w:p w14:paraId="60C1EA92">
      <w:pPr>
        <w:pStyle w:val="2"/>
        <w:rPr>
          <w:rFonts w:hint="eastAsia"/>
        </w:rPr>
      </w:pPr>
      <w:r>
        <w:rPr>
          <w:rFonts w:hint="eastAsia"/>
        </w:rPr>
        <w:t>PMID: 42838443</w:t>
      </w:r>
    </w:p>
    <w:p w14:paraId="52B36E36">
      <w:pPr>
        <w:pStyle w:val="2"/>
        <w:rPr>
          <w:rFonts w:hint="eastAsia"/>
        </w:rPr>
      </w:pPr>
    </w:p>
    <w:p w14:paraId="6AD59F7D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4</w:t>
      </w:r>
      <w:r>
        <w:rPr>
          <w:rFonts w:hint="eastAsia"/>
          <w:b/>
          <w:bCs/>
          <w:color w:val="FF0000"/>
          <w:lang w:val="en-US" w:eastAsia="zh-CN"/>
        </w:rPr>
        <w:t>2</w:t>
      </w:r>
      <w:r>
        <w:rPr>
          <w:rFonts w:hint="eastAsia"/>
          <w:b/>
          <w:bCs/>
          <w:color w:val="FF0000"/>
        </w:rPr>
        <w:t xml:space="preserve">. Protein Expr Purif. 2026 Oct 6;244:107023. doi: 10.1016/j.pep.2026.107023. </w:t>
      </w:r>
    </w:p>
    <w:p w14:paraId="68E3796D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Online ahead of print.</w:t>
      </w:r>
    </w:p>
    <w:p w14:paraId="02A1598B">
      <w:pPr>
        <w:pStyle w:val="2"/>
        <w:rPr>
          <w:rFonts w:hint="eastAsia"/>
        </w:rPr>
      </w:pPr>
    </w:p>
    <w:p w14:paraId="1FBE3CB1">
      <w:pPr>
        <w:pStyle w:val="2"/>
        <w:rPr>
          <w:rFonts w:hint="eastAsia"/>
        </w:rPr>
      </w:pPr>
      <w:r>
        <w:rPr>
          <w:rFonts w:hint="eastAsia"/>
        </w:rPr>
        <w:t xml:space="preserve">Over-expression, purification, and characterisation of Mycobacterium </w:t>
      </w:r>
    </w:p>
    <w:p w14:paraId="7585153F">
      <w:pPr>
        <w:pStyle w:val="2"/>
        <w:rPr>
          <w:rFonts w:hint="eastAsia"/>
        </w:rPr>
      </w:pPr>
      <w:r>
        <w:rPr>
          <w:rFonts w:hint="eastAsia"/>
        </w:rPr>
        <w:t>tuberculosis MPT64 from inclusion bodies.</w:t>
      </w:r>
    </w:p>
    <w:p w14:paraId="75E03400">
      <w:pPr>
        <w:pStyle w:val="2"/>
        <w:rPr>
          <w:rFonts w:hint="eastAsia"/>
        </w:rPr>
      </w:pPr>
    </w:p>
    <w:p w14:paraId="634C5907">
      <w:pPr>
        <w:pStyle w:val="2"/>
        <w:rPr>
          <w:rFonts w:hint="eastAsia"/>
        </w:rPr>
      </w:pPr>
      <w:r>
        <w:rPr>
          <w:rFonts w:hint="eastAsia"/>
        </w:rPr>
        <w:t>Sekele L(1), Adewumi AT(2), Skepu A(3), Mosebi S(4).</w:t>
      </w:r>
    </w:p>
    <w:p w14:paraId="14A50E3E">
      <w:pPr>
        <w:pStyle w:val="2"/>
        <w:rPr>
          <w:rFonts w:hint="eastAsia"/>
        </w:rPr>
      </w:pPr>
    </w:p>
    <w:p w14:paraId="639A7644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68D08F2B">
      <w:pPr>
        <w:pStyle w:val="2"/>
        <w:rPr>
          <w:rFonts w:hint="eastAsia"/>
        </w:rPr>
      </w:pPr>
      <w:r>
        <w:rPr>
          <w:rFonts w:hint="eastAsia"/>
        </w:rPr>
        <w:t xml:space="preserve">(1)Department of Life and Consumer Sciences, College of Agriculture and </w:t>
      </w:r>
    </w:p>
    <w:p w14:paraId="68C63F24">
      <w:pPr>
        <w:pStyle w:val="2"/>
        <w:rPr>
          <w:rFonts w:hint="eastAsia"/>
        </w:rPr>
      </w:pPr>
      <w:r>
        <w:rPr>
          <w:rFonts w:hint="eastAsia"/>
        </w:rPr>
        <w:t xml:space="preserve">Environmental Sciences, University of South Africa, Private Bag X6, Florida, </w:t>
      </w:r>
    </w:p>
    <w:p w14:paraId="5E96D9E9">
      <w:pPr>
        <w:pStyle w:val="2"/>
        <w:rPr>
          <w:rFonts w:hint="eastAsia"/>
        </w:rPr>
      </w:pPr>
      <w:r>
        <w:rPr>
          <w:rFonts w:hint="eastAsia"/>
        </w:rPr>
        <w:t>Johannesburg, 1710, South Africa. Electronic address: sekellst@unisa.ac.za.</w:t>
      </w:r>
    </w:p>
    <w:p w14:paraId="06AFC7C0">
      <w:pPr>
        <w:pStyle w:val="2"/>
        <w:rPr>
          <w:rFonts w:hint="eastAsia"/>
        </w:rPr>
      </w:pPr>
      <w:r>
        <w:rPr>
          <w:rFonts w:hint="eastAsia"/>
        </w:rPr>
        <w:t xml:space="preserve">(2)Department of Life and Consumer Sciences, College of Agriculture and </w:t>
      </w:r>
    </w:p>
    <w:p w14:paraId="4E50003E">
      <w:pPr>
        <w:pStyle w:val="2"/>
        <w:rPr>
          <w:rFonts w:hint="eastAsia"/>
        </w:rPr>
      </w:pPr>
      <w:r>
        <w:rPr>
          <w:rFonts w:hint="eastAsia"/>
        </w:rPr>
        <w:t xml:space="preserve">Environmental Sciences, University of South Africa, Private Bag X6, Florida, </w:t>
      </w:r>
    </w:p>
    <w:p w14:paraId="4B86481D">
      <w:pPr>
        <w:pStyle w:val="2"/>
        <w:rPr>
          <w:rFonts w:hint="eastAsia"/>
        </w:rPr>
      </w:pPr>
      <w:r>
        <w:rPr>
          <w:rFonts w:hint="eastAsia"/>
        </w:rPr>
        <w:t>Johannesburg, 1710, South Africa.</w:t>
      </w:r>
    </w:p>
    <w:p w14:paraId="50C00B5B">
      <w:pPr>
        <w:pStyle w:val="2"/>
        <w:rPr>
          <w:rFonts w:hint="eastAsia"/>
        </w:rPr>
      </w:pPr>
      <w:r>
        <w:rPr>
          <w:rFonts w:hint="eastAsia"/>
        </w:rPr>
        <w:t xml:space="preserve">(3)Department of Life and Consumer Sciences, College of Agriculture and </w:t>
      </w:r>
    </w:p>
    <w:p w14:paraId="0DB68706">
      <w:pPr>
        <w:pStyle w:val="2"/>
        <w:rPr>
          <w:rFonts w:hint="eastAsia"/>
        </w:rPr>
      </w:pPr>
      <w:r>
        <w:rPr>
          <w:rFonts w:hint="eastAsia"/>
        </w:rPr>
        <w:t xml:space="preserve">Environmental Sciences, University of South Africa, Private Bag X6, Florida, </w:t>
      </w:r>
    </w:p>
    <w:p w14:paraId="137CBF89">
      <w:pPr>
        <w:pStyle w:val="2"/>
        <w:rPr>
          <w:rFonts w:hint="eastAsia"/>
        </w:rPr>
      </w:pPr>
      <w:r>
        <w:rPr>
          <w:rFonts w:hint="eastAsia"/>
        </w:rPr>
        <w:t xml:space="preserve">Johannesburg, 1710, South Africa; Human Diagnostic Platform, Chemicals Cluster, </w:t>
      </w:r>
    </w:p>
    <w:p w14:paraId="4103E514">
      <w:pPr>
        <w:pStyle w:val="2"/>
        <w:rPr>
          <w:rFonts w:hint="eastAsia"/>
        </w:rPr>
      </w:pPr>
      <w:r>
        <w:rPr>
          <w:rFonts w:hint="eastAsia"/>
        </w:rPr>
        <w:t xml:space="preserve">Council for Scientific and Industrial Research, Pretoria, 0001, South Africa. </w:t>
      </w:r>
    </w:p>
    <w:p w14:paraId="73E53A08">
      <w:pPr>
        <w:pStyle w:val="2"/>
        <w:rPr>
          <w:rFonts w:hint="eastAsia"/>
        </w:rPr>
      </w:pPr>
      <w:r>
        <w:rPr>
          <w:rFonts w:hint="eastAsia"/>
        </w:rPr>
        <w:t>Electronic address: askepu@csir.co.za.</w:t>
      </w:r>
    </w:p>
    <w:p w14:paraId="77484E7D">
      <w:pPr>
        <w:pStyle w:val="2"/>
        <w:rPr>
          <w:rFonts w:hint="eastAsia"/>
        </w:rPr>
      </w:pPr>
      <w:r>
        <w:rPr>
          <w:rFonts w:hint="eastAsia"/>
        </w:rPr>
        <w:t xml:space="preserve">(4)Department of Life and Consumer Sciences, College of Agriculture and </w:t>
      </w:r>
    </w:p>
    <w:p w14:paraId="272100AC">
      <w:pPr>
        <w:pStyle w:val="2"/>
        <w:rPr>
          <w:rFonts w:hint="eastAsia"/>
        </w:rPr>
      </w:pPr>
      <w:r>
        <w:rPr>
          <w:rFonts w:hint="eastAsia"/>
        </w:rPr>
        <w:t xml:space="preserve">Environmental Sciences, University of South Africa, Private Bag X6, Florida, </w:t>
      </w:r>
    </w:p>
    <w:p w14:paraId="5588D109">
      <w:pPr>
        <w:pStyle w:val="2"/>
        <w:rPr>
          <w:rFonts w:hint="eastAsia"/>
        </w:rPr>
      </w:pPr>
      <w:r>
        <w:rPr>
          <w:rFonts w:hint="eastAsia"/>
        </w:rPr>
        <w:t>Johannesburg, 1710, South Africa. Electronic address: mosebs@unisa.ac.za.</w:t>
      </w:r>
    </w:p>
    <w:p w14:paraId="327445B6">
      <w:pPr>
        <w:pStyle w:val="2"/>
        <w:rPr>
          <w:rFonts w:hint="eastAsia"/>
        </w:rPr>
      </w:pPr>
    </w:p>
    <w:p w14:paraId="394CB20D">
      <w:pPr>
        <w:pStyle w:val="2"/>
        <w:rPr>
          <w:rFonts w:hint="eastAsia"/>
        </w:rPr>
      </w:pPr>
      <w:r>
        <w:rPr>
          <w:rFonts w:hint="eastAsia"/>
        </w:rPr>
        <w:t xml:space="preserve">Tuberculosis remains among the top ten deadliest infectious diseases worldwide, </w:t>
      </w:r>
    </w:p>
    <w:p w14:paraId="4505CE26">
      <w:pPr>
        <w:pStyle w:val="2"/>
        <w:rPr>
          <w:rFonts w:hint="eastAsia"/>
        </w:rPr>
      </w:pPr>
      <w:r>
        <w:rPr>
          <w:rFonts w:hint="eastAsia"/>
        </w:rPr>
        <w:t xml:space="preserve">primarily due to delayed diagnosis, co-infection with HIV, and multidrug </w:t>
      </w:r>
    </w:p>
    <w:p w14:paraId="148F1209">
      <w:pPr>
        <w:pStyle w:val="2"/>
        <w:rPr>
          <w:rFonts w:hint="eastAsia"/>
        </w:rPr>
      </w:pPr>
      <w:r>
        <w:rPr>
          <w:rFonts w:hint="eastAsia"/>
        </w:rPr>
        <w:t xml:space="preserve">resistance. Targeting early secreted mycobacterial antigens, including MPT64, </w:t>
      </w:r>
    </w:p>
    <w:p w14:paraId="4D208315">
      <w:pPr>
        <w:pStyle w:val="2"/>
        <w:rPr>
          <w:rFonts w:hint="eastAsia"/>
        </w:rPr>
      </w:pPr>
      <w:r>
        <w:rPr>
          <w:rFonts w:hint="eastAsia"/>
        </w:rPr>
        <w:t xml:space="preserve">ESAT6, and CFP10, may be a viable strategy for detecting the onset of </w:t>
      </w:r>
    </w:p>
    <w:p w14:paraId="64054450">
      <w:pPr>
        <w:pStyle w:val="2"/>
        <w:rPr>
          <w:rFonts w:hint="eastAsia"/>
        </w:rPr>
      </w:pPr>
      <w:r>
        <w:rPr>
          <w:rFonts w:hint="eastAsia"/>
        </w:rPr>
        <w:t xml:space="preserve">tuberculosis. Although recombinant MPT64 has been produced previously, limited </w:t>
      </w:r>
    </w:p>
    <w:p w14:paraId="4B4D7427">
      <w:pPr>
        <w:pStyle w:val="2"/>
        <w:rPr>
          <w:rFonts w:hint="eastAsia"/>
        </w:rPr>
      </w:pPr>
      <w:r>
        <w:rPr>
          <w:rFonts w:hint="eastAsia"/>
        </w:rPr>
        <w:t xml:space="preserve">information is available regarding its structural integrity and thermodynamic </w:t>
      </w:r>
    </w:p>
    <w:p w14:paraId="0CF97811">
      <w:pPr>
        <w:pStyle w:val="2"/>
        <w:rPr>
          <w:rFonts w:hint="eastAsia"/>
        </w:rPr>
      </w:pPr>
      <w:r>
        <w:rPr>
          <w:rFonts w:hint="eastAsia"/>
        </w:rPr>
        <w:t xml:space="preserve">unfolding behaviour following recovery from inclusion bodies. In this study, </w:t>
      </w:r>
    </w:p>
    <w:p w14:paraId="688586A8">
      <w:pPr>
        <w:pStyle w:val="2"/>
        <w:rPr>
          <w:rFonts w:hint="eastAsia"/>
        </w:rPr>
      </w:pPr>
      <w:r>
        <w:rPr>
          <w:rFonts w:hint="eastAsia"/>
        </w:rPr>
        <w:t xml:space="preserve">MPT64 protein was overexpressed, affinity-purified, and characterised using </w:t>
      </w:r>
    </w:p>
    <w:p w14:paraId="4F83B687">
      <w:pPr>
        <w:pStyle w:val="2"/>
        <w:rPr>
          <w:rFonts w:hint="eastAsia"/>
        </w:rPr>
      </w:pPr>
      <w:r>
        <w:rPr>
          <w:rFonts w:hint="eastAsia"/>
        </w:rPr>
        <w:t xml:space="preserve">biophysical and biochemical methods. The purified recombinant MPT64 had a purity </w:t>
      </w:r>
    </w:p>
    <w:p w14:paraId="36002026">
      <w:pPr>
        <w:pStyle w:val="2"/>
        <w:rPr>
          <w:rFonts w:hint="eastAsia"/>
        </w:rPr>
      </w:pPr>
      <w:r>
        <w:rPr>
          <w:rFonts w:hint="eastAsia"/>
        </w:rPr>
        <w:t xml:space="preserve">greater than 95%, yielding 2 mg from 1 L of bacterial culture. Western blot </w:t>
      </w:r>
    </w:p>
    <w:p w14:paraId="0921779A">
      <w:pPr>
        <w:pStyle w:val="2"/>
        <w:rPr>
          <w:rFonts w:hint="eastAsia"/>
        </w:rPr>
      </w:pPr>
      <w:r>
        <w:rPr>
          <w:rFonts w:hint="eastAsia"/>
        </w:rPr>
        <w:t xml:space="preserve">analysis confirmed MPT64 identity, while ELISA demonstrated antibody recognition </w:t>
      </w:r>
    </w:p>
    <w:p w14:paraId="6972EB67">
      <w:pPr>
        <w:pStyle w:val="2"/>
        <w:rPr>
          <w:rFonts w:hint="eastAsia"/>
        </w:rPr>
      </w:pPr>
      <w:r>
        <w:rPr>
          <w:rFonts w:hint="eastAsia"/>
        </w:rPr>
        <w:t xml:space="preserve">of refolded MPT64, with markedly reduced binding following heat denaturation, </w:t>
      </w:r>
    </w:p>
    <w:p w14:paraId="496D5912">
      <w:pPr>
        <w:pStyle w:val="2"/>
        <w:rPr>
          <w:rFonts w:hint="eastAsia"/>
        </w:rPr>
      </w:pPr>
      <w:r>
        <w:rPr>
          <w:rFonts w:hint="eastAsia"/>
        </w:rPr>
        <w:t xml:space="preserve">indicating that refolding preserved conformational epitopes. Far-UV circular </w:t>
      </w:r>
    </w:p>
    <w:p w14:paraId="44E3AF8D">
      <w:pPr>
        <w:pStyle w:val="2"/>
        <w:rPr>
          <w:rFonts w:hint="eastAsia"/>
        </w:rPr>
      </w:pPr>
      <w:r>
        <w:rPr>
          <w:rFonts w:hint="eastAsia"/>
        </w:rPr>
        <w:t xml:space="preserve">dichroism (CD) and intrinsic fluorescence spectroscopy spectral profiles </w:t>
      </w:r>
    </w:p>
    <w:p w14:paraId="4799C7E7">
      <w:pPr>
        <w:pStyle w:val="2"/>
        <w:rPr>
          <w:rFonts w:hint="eastAsia"/>
        </w:rPr>
      </w:pPr>
      <w:r>
        <w:rPr>
          <w:rFonts w:hint="eastAsia"/>
        </w:rPr>
        <w:t xml:space="preserve">confirmed that the purified MPT64 protein retained its folded secondary and </w:t>
      </w:r>
    </w:p>
    <w:p w14:paraId="3B82BBDE">
      <w:pPr>
        <w:pStyle w:val="2"/>
        <w:rPr>
          <w:rFonts w:hint="eastAsia"/>
        </w:rPr>
      </w:pPr>
      <w:r>
        <w:rPr>
          <w:rFonts w:hint="eastAsia"/>
        </w:rPr>
        <w:t xml:space="preserve">tertiary structural integrity. Thermodynamic analysis by fluorescence and Far-UV </w:t>
      </w:r>
    </w:p>
    <w:p w14:paraId="143D93D5">
      <w:pPr>
        <w:pStyle w:val="2"/>
        <w:rPr>
          <w:rFonts w:hint="eastAsia"/>
        </w:rPr>
      </w:pPr>
      <w:r>
        <w:rPr>
          <w:rFonts w:hint="eastAsia"/>
        </w:rPr>
        <w:t xml:space="preserve">CD yielded stability values (ΔG°) of 19.9 and 26.2 kJ mol-1, with unfolding </w:t>
      </w:r>
    </w:p>
    <w:p w14:paraId="615C7F36">
      <w:pPr>
        <w:pStyle w:val="2"/>
        <w:rPr>
          <w:rFonts w:hint="eastAsia"/>
        </w:rPr>
      </w:pPr>
      <w:r>
        <w:rPr>
          <w:rFonts w:hint="eastAsia"/>
        </w:rPr>
        <w:t xml:space="preserve">midpoints of 5.3 and 5.5 M urea, respectively. Differential scanning calorimetry </w:t>
      </w:r>
    </w:p>
    <w:p w14:paraId="6CC8AF8A">
      <w:pPr>
        <w:pStyle w:val="2"/>
        <w:rPr>
          <w:rFonts w:hint="eastAsia"/>
        </w:rPr>
      </w:pPr>
      <w:r>
        <w:rPr>
          <w:rFonts w:hint="eastAsia"/>
        </w:rPr>
        <w:t xml:space="preserve">and thermal circular dichroism indicated melting transitions between 62.5 and </w:t>
      </w:r>
    </w:p>
    <w:p w14:paraId="4F50E806">
      <w:pPr>
        <w:pStyle w:val="2"/>
        <w:rPr>
          <w:rFonts w:hint="eastAsia"/>
        </w:rPr>
      </w:pPr>
      <w:r>
        <w:rPr>
          <w:rFonts w:hint="eastAsia"/>
        </w:rPr>
        <w:t xml:space="preserve">58 °C, supporting moderate thermal stability. Collectively, these complementary </w:t>
      </w:r>
    </w:p>
    <w:p w14:paraId="438E0050">
      <w:pPr>
        <w:pStyle w:val="2"/>
        <w:rPr>
          <w:rFonts w:hint="eastAsia"/>
        </w:rPr>
      </w:pPr>
      <w:r>
        <w:rPr>
          <w:rFonts w:hint="eastAsia"/>
        </w:rPr>
        <w:t xml:space="preserve">measurements provide a detailed biophysical assessment of the conformational and </w:t>
      </w:r>
    </w:p>
    <w:p w14:paraId="63FCA293">
      <w:pPr>
        <w:pStyle w:val="2"/>
        <w:rPr>
          <w:rFonts w:hint="eastAsia"/>
        </w:rPr>
      </w:pPr>
      <w:r>
        <w:rPr>
          <w:rFonts w:hint="eastAsia"/>
        </w:rPr>
        <w:t xml:space="preserve">thermal stability of recombinant MPT64 following inclusion-body recovery and </w:t>
      </w:r>
    </w:p>
    <w:p w14:paraId="6BF409DA">
      <w:pPr>
        <w:pStyle w:val="2"/>
        <w:rPr>
          <w:rFonts w:hint="eastAsia"/>
        </w:rPr>
      </w:pPr>
      <w:r>
        <w:rPr>
          <w:rFonts w:hint="eastAsia"/>
        </w:rPr>
        <w:t xml:space="preserve">refolding. The findings provide a biophysical basis for further investigation of </w:t>
      </w:r>
    </w:p>
    <w:p w14:paraId="3196E9B9">
      <w:pPr>
        <w:pStyle w:val="2"/>
        <w:rPr>
          <w:rFonts w:hint="eastAsia"/>
        </w:rPr>
      </w:pPr>
      <w:r>
        <w:rPr>
          <w:rFonts w:hint="eastAsia"/>
        </w:rPr>
        <w:t>MPT64 as a recombinant antigen for tuberculosis diagnostics.</w:t>
      </w:r>
    </w:p>
    <w:p w14:paraId="194F5733">
      <w:pPr>
        <w:pStyle w:val="2"/>
        <w:rPr>
          <w:rFonts w:hint="eastAsia"/>
        </w:rPr>
      </w:pPr>
    </w:p>
    <w:p w14:paraId="2945C484">
      <w:pPr>
        <w:pStyle w:val="2"/>
        <w:rPr>
          <w:rFonts w:hint="eastAsia"/>
        </w:rPr>
      </w:pPr>
      <w:r>
        <w:rPr>
          <w:rFonts w:hint="eastAsia"/>
        </w:rPr>
        <w:t>Copyright © 2026. Published by Elsevier Inc.</w:t>
      </w:r>
    </w:p>
    <w:p w14:paraId="37D978DD">
      <w:pPr>
        <w:pStyle w:val="2"/>
        <w:rPr>
          <w:rFonts w:hint="eastAsia"/>
        </w:rPr>
      </w:pPr>
    </w:p>
    <w:p w14:paraId="1AAB829E">
      <w:pPr>
        <w:pStyle w:val="2"/>
        <w:rPr>
          <w:rFonts w:hint="eastAsia"/>
        </w:rPr>
      </w:pPr>
      <w:r>
        <w:rPr>
          <w:rFonts w:hint="eastAsia"/>
        </w:rPr>
        <w:t>DOI: 10.1016/j.pep.2026.107023</w:t>
      </w:r>
    </w:p>
    <w:p w14:paraId="613FC807">
      <w:pPr>
        <w:pStyle w:val="2"/>
        <w:rPr>
          <w:rFonts w:hint="eastAsia"/>
        </w:rPr>
      </w:pPr>
      <w:r>
        <w:rPr>
          <w:rFonts w:hint="eastAsia"/>
        </w:rPr>
        <w:t>PMID: 42838355</w:t>
      </w:r>
    </w:p>
    <w:p w14:paraId="74D3C430">
      <w:pPr>
        <w:pStyle w:val="2"/>
        <w:rPr>
          <w:rFonts w:hint="eastAsia"/>
        </w:rPr>
      </w:pPr>
    </w:p>
    <w:p w14:paraId="32A05CD8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4</w:t>
      </w:r>
      <w:r>
        <w:rPr>
          <w:rFonts w:hint="eastAsia"/>
          <w:b/>
          <w:bCs/>
          <w:color w:val="FF0000"/>
          <w:lang w:val="en-US" w:eastAsia="zh-CN"/>
        </w:rPr>
        <w:t>3</w:t>
      </w:r>
      <w:r>
        <w:rPr>
          <w:rFonts w:hint="eastAsia"/>
          <w:b/>
          <w:bCs/>
          <w:color w:val="FF0000"/>
        </w:rPr>
        <w:t xml:space="preserve">. STAR Protoc. 2026 Oct 5;7(4):104859. doi: 10.1016/j.xpro.2026.104859. Online </w:t>
      </w:r>
    </w:p>
    <w:p w14:paraId="5C1D6BD8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ahead of print.</w:t>
      </w:r>
    </w:p>
    <w:p w14:paraId="5C491C5C">
      <w:pPr>
        <w:pStyle w:val="2"/>
        <w:rPr>
          <w:rFonts w:hint="eastAsia"/>
        </w:rPr>
      </w:pPr>
    </w:p>
    <w:p w14:paraId="5C43E4F9">
      <w:pPr>
        <w:pStyle w:val="2"/>
        <w:rPr>
          <w:rFonts w:hint="eastAsia"/>
        </w:rPr>
      </w:pPr>
      <w:r>
        <w:rPr>
          <w:rFonts w:hint="eastAsia"/>
        </w:rPr>
        <w:t xml:space="preserve">Protocol for confocal microscopy-based localization of chorismate mutase protein </w:t>
      </w:r>
    </w:p>
    <w:p w14:paraId="667B1605">
      <w:pPr>
        <w:pStyle w:val="2"/>
        <w:rPr>
          <w:rFonts w:hint="eastAsia"/>
        </w:rPr>
      </w:pPr>
      <w:r>
        <w:rPr>
          <w:rFonts w:hint="eastAsia"/>
        </w:rPr>
        <w:t>of Mycobacterium tuberculosis in trans-Golgi compartment.</w:t>
      </w:r>
    </w:p>
    <w:p w14:paraId="691D6E26">
      <w:pPr>
        <w:pStyle w:val="2"/>
        <w:rPr>
          <w:rFonts w:hint="eastAsia"/>
        </w:rPr>
      </w:pPr>
    </w:p>
    <w:p w14:paraId="09752859">
      <w:pPr>
        <w:pStyle w:val="2"/>
        <w:rPr>
          <w:rFonts w:hint="eastAsia"/>
        </w:rPr>
      </w:pPr>
      <w:r>
        <w:rPr>
          <w:rFonts w:hint="eastAsia"/>
        </w:rPr>
        <w:t>Maurya V(1), Mukhopadhyay S(2).</w:t>
      </w:r>
    </w:p>
    <w:p w14:paraId="6933A83D">
      <w:pPr>
        <w:pStyle w:val="2"/>
        <w:rPr>
          <w:rFonts w:hint="eastAsia"/>
        </w:rPr>
      </w:pPr>
    </w:p>
    <w:p w14:paraId="69A39CD3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45001308">
      <w:pPr>
        <w:pStyle w:val="2"/>
        <w:rPr>
          <w:rFonts w:hint="eastAsia"/>
        </w:rPr>
      </w:pPr>
      <w:r>
        <w:rPr>
          <w:rFonts w:hint="eastAsia"/>
        </w:rPr>
        <w:t xml:space="preserve">(1)Laboratory of Molecular Cell Biology, BRIC-Centre for DNA Fingerprinting and </w:t>
      </w:r>
    </w:p>
    <w:p w14:paraId="2A80B8AD">
      <w:pPr>
        <w:pStyle w:val="2"/>
        <w:rPr>
          <w:rFonts w:hint="eastAsia"/>
        </w:rPr>
      </w:pPr>
      <w:r>
        <w:rPr>
          <w:rFonts w:hint="eastAsia"/>
        </w:rPr>
        <w:t xml:space="preserve">Diagnostics (CDFD), Inner Ring Road, Uppal, Hyderabad 500039, Telangana, India; </w:t>
      </w:r>
    </w:p>
    <w:p w14:paraId="70FA8148">
      <w:pPr>
        <w:pStyle w:val="2"/>
        <w:rPr>
          <w:rFonts w:hint="eastAsia"/>
        </w:rPr>
      </w:pPr>
      <w:r>
        <w:rPr>
          <w:rFonts w:hint="eastAsia"/>
        </w:rPr>
        <w:t xml:space="preserve">Graduate Studies, Regional Centre for Biotechnology, Faridabad 121001, Haryana </w:t>
      </w:r>
    </w:p>
    <w:p w14:paraId="1FC40F9E">
      <w:pPr>
        <w:pStyle w:val="2"/>
        <w:rPr>
          <w:rFonts w:hint="eastAsia"/>
        </w:rPr>
      </w:pPr>
      <w:r>
        <w:rPr>
          <w:rFonts w:hint="eastAsia"/>
        </w:rPr>
        <w:t>(NCR Delhi), India.</w:t>
      </w:r>
    </w:p>
    <w:p w14:paraId="59B1A0CD">
      <w:pPr>
        <w:pStyle w:val="2"/>
        <w:rPr>
          <w:rFonts w:hint="eastAsia"/>
        </w:rPr>
      </w:pPr>
      <w:r>
        <w:rPr>
          <w:rFonts w:hint="eastAsia"/>
        </w:rPr>
        <w:t xml:space="preserve">(2)Laboratory of Molecular Cell Biology, BRIC-Centre for DNA Fingerprinting and </w:t>
      </w:r>
    </w:p>
    <w:p w14:paraId="7A251113">
      <w:pPr>
        <w:pStyle w:val="2"/>
        <w:rPr>
          <w:rFonts w:hint="eastAsia"/>
        </w:rPr>
      </w:pPr>
      <w:r>
        <w:rPr>
          <w:rFonts w:hint="eastAsia"/>
        </w:rPr>
        <w:t xml:space="preserve">Diagnostics (CDFD), Inner Ring Road, Uppal, Hyderabad 500039, Telangana, India. </w:t>
      </w:r>
    </w:p>
    <w:p w14:paraId="79111941">
      <w:pPr>
        <w:pStyle w:val="2"/>
        <w:rPr>
          <w:rFonts w:hint="eastAsia"/>
        </w:rPr>
      </w:pPr>
      <w:r>
        <w:rPr>
          <w:rFonts w:hint="eastAsia"/>
        </w:rPr>
        <w:t>Electronic address: sangitacdfd@gmail.com.</w:t>
      </w:r>
    </w:p>
    <w:p w14:paraId="61383759">
      <w:pPr>
        <w:pStyle w:val="2"/>
        <w:rPr>
          <w:rFonts w:hint="eastAsia"/>
        </w:rPr>
      </w:pPr>
    </w:p>
    <w:p w14:paraId="3A945277">
      <w:pPr>
        <w:pStyle w:val="2"/>
        <w:rPr>
          <w:rFonts w:hint="eastAsia"/>
        </w:rPr>
      </w:pPr>
      <w:r>
        <w:rPr>
          <w:rFonts w:hint="eastAsia"/>
        </w:rPr>
        <w:t xml:space="preserve">Here, we present a confocal microscopy protocol to determine the localization of </w:t>
      </w:r>
    </w:p>
    <w:p w14:paraId="0C1E12B7">
      <w:pPr>
        <w:pStyle w:val="2"/>
        <w:rPr>
          <w:rFonts w:hint="eastAsia"/>
        </w:rPr>
      </w:pPr>
      <w:r>
        <w:rPr>
          <w:rFonts w:hint="eastAsia"/>
        </w:rPr>
        <w:t xml:space="preserve">Mycobacterium tuberculosis chorismate mutase (MtbCM) in trans-Golgi compartment. </w:t>
      </w:r>
    </w:p>
    <w:p w14:paraId="03C5B79E">
      <w:pPr>
        <w:pStyle w:val="2"/>
        <w:rPr>
          <w:rFonts w:hint="eastAsia"/>
        </w:rPr>
      </w:pPr>
      <w:r>
        <w:rPr>
          <w:rFonts w:hint="eastAsia"/>
        </w:rPr>
        <w:t xml:space="preserve">We co-transfect HEK293 cells with either pEGFP-C1-MtbCM and mCherry-TGOLN2 </w:t>
      </w:r>
    </w:p>
    <w:p w14:paraId="78B7A741">
      <w:pPr>
        <w:pStyle w:val="2"/>
        <w:rPr>
          <w:rFonts w:hint="eastAsia"/>
        </w:rPr>
      </w:pPr>
      <w:r>
        <w:rPr>
          <w:rFonts w:hint="eastAsia"/>
        </w:rPr>
        <w:t xml:space="preserve">(trans-Golgi marker) or pEGFP-C1 and mCherry-TGOLN2 as a control, using </w:t>
      </w:r>
    </w:p>
    <w:p w14:paraId="722D62A8">
      <w:pPr>
        <w:pStyle w:val="2"/>
        <w:rPr>
          <w:rFonts w:hint="eastAsia"/>
        </w:rPr>
      </w:pPr>
      <w:r>
        <w:rPr>
          <w:rFonts w:hint="eastAsia"/>
        </w:rPr>
        <w:t xml:space="preserve">Lipofectamine 2000. We describe steps for constructing pEGFP-C1-MtbCM and </w:t>
      </w:r>
    </w:p>
    <w:p w14:paraId="616A0737">
      <w:pPr>
        <w:pStyle w:val="2"/>
        <w:rPr>
          <w:rFonts w:hint="eastAsia"/>
        </w:rPr>
      </w:pPr>
      <w:r>
        <w:rPr>
          <w:rFonts w:hint="eastAsia"/>
        </w:rPr>
        <w:t xml:space="preserve">performing co-transfection and image acquisition using confocal microscopy. This </w:t>
      </w:r>
    </w:p>
    <w:p w14:paraId="4F736E44">
      <w:pPr>
        <w:pStyle w:val="2"/>
        <w:rPr>
          <w:rFonts w:hint="eastAsia"/>
        </w:rPr>
      </w:pPr>
      <w:r>
        <w:rPr>
          <w:rFonts w:hint="eastAsia"/>
        </w:rPr>
        <w:t xml:space="preserve">protocol provides a representative procedure to determine the subcellular </w:t>
      </w:r>
    </w:p>
    <w:p w14:paraId="2F87101B">
      <w:pPr>
        <w:pStyle w:val="2"/>
        <w:rPr>
          <w:rFonts w:hint="eastAsia"/>
        </w:rPr>
      </w:pPr>
      <w:r>
        <w:rPr>
          <w:rFonts w:hint="eastAsia"/>
        </w:rPr>
        <w:t xml:space="preserve">localization of the mycobacterial protein to the trans-Golgi compartment. For </w:t>
      </w:r>
    </w:p>
    <w:p w14:paraId="1AB3A550">
      <w:pPr>
        <w:pStyle w:val="2"/>
        <w:rPr>
          <w:rFonts w:hint="eastAsia"/>
        </w:rPr>
      </w:pPr>
      <w:r>
        <w:rPr>
          <w:rFonts w:hint="eastAsia"/>
        </w:rPr>
        <w:t xml:space="preserve">complete details on the use and execution of this protocol, please refer to Pal </w:t>
      </w:r>
    </w:p>
    <w:p w14:paraId="29028606">
      <w:pPr>
        <w:pStyle w:val="2"/>
        <w:rPr>
          <w:rFonts w:hint="eastAsia"/>
        </w:rPr>
      </w:pPr>
      <w:r>
        <w:rPr>
          <w:rFonts w:hint="eastAsia"/>
        </w:rPr>
        <w:t>et al.1.</w:t>
      </w:r>
    </w:p>
    <w:p w14:paraId="2D8C8E18">
      <w:pPr>
        <w:pStyle w:val="2"/>
        <w:rPr>
          <w:rFonts w:hint="eastAsia"/>
        </w:rPr>
      </w:pPr>
    </w:p>
    <w:p w14:paraId="5D66BE35">
      <w:pPr>
        <w:pStyle w:val="2"/>
        <w:rPr>
          <w:rFonts w:hint="eastAsia"/>
        </w:rPr>
      </w:pPr>
      <w:r>
        <w:rPr>
          <w:rFonts w:hint="eastAsia"/>
        </w:rPr>
        <w:t>Copyright © 2026. Published by Elsevier Inc.</w:t>
      </w:r>
    </w:p>
    <w:p w14:paraId="00A28562">
      <w:pPr>
        <w:pStyle w:val="2"/>
        <w:rPr>
          <w:rFonts w:hint="eastAsia"/>
        </w:rPr>
      </w:pPr>
    </w:p>
    <w:p w14:paraId="5A3FB930">
      <w:pPr>
        <w:pStyle w:val="2"/>
        <w:rPr>
          <w:rFonts w:hint="eastAsia"/>
        </w:rPr>
      </w:pPr>
      <w:r>
        <w:rPr>
          <w:rFonts w:hint="eastAsia"/>
        </w:rPr>
        <w:t>DOI: 10.1016/j.xpro.2026.104859</w:t>
      </w:r>
    </w:p>
    <w:p w14:paraId="581CFE04">
      <w:pPr>
        <w:pStyle w:val="2"/>
        <w:rPr>
          <w:rFonts w:hint="eastAsia"/>
        </w:rPr>
      </w:pPr>
      <w:r>
        <w:rPr>
          <w:rFonts w:hint="eastAsia"/>
        </w:rPr>
        <w:t>PMID: 42837261</w:t>
      </w:r>
    </w:p>
    <w:p w14:paraId="1E1AF6EE">
      <w:pPr>
        <w:pStyle w:val="2"/>
        <w:rPr>
          <w:rFonts w:hint="eastAsia"/>
        </w:rPr>
      </w:pPr>
    </w:p>
    <w:p w14:paraId="5F2A4239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4</w:t>
      </w:r>
      <w:r>
        <w:rPr>
          <w:rFonts w:hint="eastAsia"/>
          <w:b/>
          <w:bCs/>
          <w:color w:val="FF0000"/>
          <w:lang w:val="en-US" w:eastAsia="zh-CN"/>
        </w:rPr>
        <w:t>4</w:t>
      </w:r>
      <w:r>
        <w:rPr>
          <w:rFonts w:hint="eastAsia"/>
          <w:b/>
          <w:bCs/>
          <w:color w:val="FF0000"/>
        </w:rPr>
        <w:t>. Pulmonology. 2026 Dec;32(1):2742720. doi: 10.1080/25310429.2026.2742720. Epub 2026 Oct 6.</w:t>
      </w:r>
    </w:p>
    <w:p w14:paraId="0BC1C1BA">
      <w:pPr>
        <w:pStyle w:val="2"/>
        <w:rPr>
          <w:rFonts w:hint="eastAsia"/>
        </w:rPr>
      </w:pPr>
    </w:p>
    <w:p w14:paraId="21A2FA49">
      <w:pPr>
        <w:pStyle w:val="2"/>
        <w:rPr>
          <w:rFonts w:hint="eastAsia"/>
        </w:rPr>
      </w:pPr>
      <w:r>
        <w:rPr>
          <w:rFonts w:hint="eastAsia"/>
        </w:rPr>
        <w:t xml:space="preserve">Cost efficiency or diagnostic compromise? Interpreting the economic and clinical </w:t>
      </w:r>
    </w:p>
    <w:p w14:paraId="6851E9EE">
      <w:pPr>
        <w:pStyle w:val="2"/>
        <w:rPr>
          <w:rFonts w:hint="eastAsia"/>
        </w:rPr>
      </w:pPr>
      <w:r>
        <w:rPr>
          <w:rFonts w:hint="eastAsia"/>
        </w:rPr>
        <w:t>trade-offs between UniAMP and Truenat for tuberculosis detection.</w:t>
      </w:r>
    </w:p>
    <w:p w14:paraId="7777C0D1">
      <w:pPr>
        <w:pStyle w:val="2"/>
        <w:rPr>
          <w:rFonts w:hint="eastAsia"/>
        </w:rPr>
      </w:pPr>
    </w:p>
    <w:p w14:paraId="56C2F7DE">
      <w:pPr>
        <w:pStyle w:val="2"/>
        <w:rPr>
          <w:rFonts w:hint="eastAsia"/>
        </w:rPr>
      </w:pPr>
      <w:r>
        <w:rPr>
          <w:rFonts w:hint="eastAsia"/>
        </w:rPr>
        <w:t>Mala S(1), Khanna S(2), Abbas U(1), Abbass M(3).</w:t>
      </w:r>
    </w:p>
    <w:p w14:paraId="2C699252">
      <w:pPr>
        <w:pStyle w:val="2"/>
        <w:rPr>
          <w:rFonts w:hint="eastAsia"/>
        </w:rPr>
      </w:pPr>
    </w:p>
    <w:p w14:paraId="4D93741C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0BCDFD7C">
      <w:pPr>
        <w:pStyle w:val="2"/>
        <w:rPr>
          <w:rFonts w:hint="eastAsia"/>
        </w:rPr>
      </w:pPr>
      <w:r>
        <w:rPr>
          <w:rFonts w:hint="eastAsia"/>
        </w:rPr>
        <w:t xml:space="preserve">(1)Department of Anaesthesia and Critical Care, Government Multi Specialty </w:t>
      </w:r>
    </w:p>
    <w:p w14:paraId="4DEEEFDC">
      <w:pPr>
        <w:pStyle w:val="2"/>
        <w:rPr>
          <w:rFonts w:hint="eastAsia"/>
        </w:rPr>
      </w:pPr>
      <w:r>
        <w:rPr>
          <w:rFonts w:hint="eastAsia"/>
        </w:rPr>
        <w:t>Hospital (GMSH), Chandigarh, India.</w:t>
      </w:r>
    </w:p>
    <w:p w14:paraId="65249F81">
      <w:pPr>
        <w:pStyle w:val="2"/>
        <w:rPr>
          <w:rFonts w:hint="eastAsia"/>
        </w:rPr>
      </w:pPr>
      <w:r>
        <w:rPr>
          <w:rFonts w:hint="eastAsia"/>
        </w:rPr>
        <w:t xml:space="preserve">(2)Faculty of Law, Maharishi Markandeshwar (Deemed to Be University), Mullana, </w:t>
      </w:r>
    </w:p>
    <w:p w14:paraId="0EB1D9A1">
      <w:pPr>
        <w:pStyle w:val="2"/>
        <w:rPr>
          <w:rFonts w:hint="eastAsia"/>
        </w:rPr>
      </w:pPr>
      <w:r>
        <w:rPr>
          <w:rFonts w:hint="eastAsia"/>
        </w:rPr>
        <w:t>Ambala, India.</w:t>
      </w:r>
    </w:p>
    <w:p w14:paraId="204EC85B">
      <w:pPr>
        <w:pStyle w:val="2"/>
        <w:rPr>
          <w:rFonts w:hint="eastAsia"/>
        </w:rPr>
      </w:pPr>
      <w:r>
        <w:rPr>
          <w:rFonts w:hint="eastAsia"/>
        </w:rPr>
        <w:t xml:space="preserve">(3)Department of Civil Engineering, MM Engineering College, Maharishi </w:t>
      </w:r>
    </w:p>
    <w:p w14:paraId="0AC556B9">
      <w:pPr>
        <w:pStyle w:val="2"/>
        <w:rPr>
          <w:rFonts w:hint="eastAsia"/>
        </w:rPr>
      </w:pPr>
      <w:r>
        <w:rPr>
          <w:rFonts w:hint="eastAsia"/>
        </w:rPr>
        <w:t>Markandeshwar (Deemed to Be University), Mullana, Ambala, India.</w:t>
      </w:r>
    </w:p>
    <w:p w14:paraId="0E6E9D21">
      <w:pPr>
        <w:pStyle w:val="2"/>
        <w:rPr>
          <w:rFonts w:hint="eastAsia"/>
        </w:rPr>
      </w:pPr>
    </w:p>
    <w:p w14:paraId="75D71D05">
      <w:pPr>
        <w:pStyle w:val="2"/>
        <w:rPr>
          <w:rFonts w:hint="eastAsia"/>
        </w:rPr>
      </w:pPr>
      <w:r>
        <w:rPr>
          <w:rFonts w:hint="eastAsia"/>
        </w:rPr>
        <w:t>DOI: 10.1080/25310429.2026.2742720</w:t>
      </w:r>
    </w:p>
    <w:p w14:paraId="1B930D38">
      <w:pPr>
        <w:pStyle w:val="2"/>
        <w:rPr>
          <w:rFonts w:hint="eastAsia"/>
        </w:rPr>
      </w:pPr>
      <w:r>
        <w:rPr>
          <w:rFonts w:hint="eastAsia"/>
        </w:rPr>
        <w:t>PMID: 42837198</w:t>
      </w:r>
    </w:p>
    <w:p w14:paraId="57E340B0">
      <w:pPr>
        <w:pStyle w:val="2"/>
        <w:rPr>
          <w:rFonts w:hint="eastAsia"/>
        </w:rPr>
      </w:pPr>
    </w:p>
    <w:p w14:paraId="6B7A9A22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4</w:t>
      </w:r>
      <w:r>
        <w:rPr>
          <w:rFonts w:hint="eastAsia"/>
          <w:b/>
          <w:bCs/>
          <w:color w:val="FF0000"/>
          <w:lang w:val="en-US" w:eastAsia="zh-CN"/>
        </w:rPr>
        <w:t>5</w:t>
      </w:r>
      <w:r>
        <w:rPr>
          <w:rFonts w:hint="eastAsia"/>
          <w:b/>
          <w:bCs/>
          <w:color w:val="FF0000"/>
        </w:rPr>
        <w:t xml:space="preserve">. Naunyn Schmiedebergs Arch Pharmacol. 2026 Oct 6. doi: </w:t>
      </w:r>
    </w:p>
    <w:p w14:paraId="143BF806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10.1007/s00210-026-05983-6. Online ahead of print.</w:t>
      </w:r>
    </w:p>
    <w:p w14:paraId="3F1564EF">
      <w:pPr>
        <w:pStyle w:val="2"/>
        <w:rPr>
          <w:rFonts w:hint="eastAsia"/>
        </w:rPr>
      </w:pPr>
    </w:p>
    <w:p w14:paraId="5638CEE8">
      <w:pPr>
        <w:pStyle w:val="2"/>
        <w:rPr>
          <w:rFonts w:hint="eastAsia"/>
        </w:rPr>
      </w:pPr>
      <w:r>
        <w:rPr>
          <w:rFonts w:hint="eastAsia"/>
        </w:rPr>
        <w:t xml:space="preserve">Adverse drug reactions to first-line anti-tuberculosis treatments, associated </w:t>
      </w:r>
    </w:p>
    <w:p w14:paraId="1C48E4A7">
      <w:pPr>
        <w:pStyle w:val="2"/>
        <w:rPr>
          <w:rFonts w:hint="eastAsia"/>
        </w:rPr>
      </w:pPr>
      <w:r>
        <w:rPr>
          <w:rFonts w:hint="eastAsia"/>
        </w:rPr>
        <w:t>factors, and treatment outcomes: a retrospective study from Southern Morocco.</w:t>
      </w:r>
    </w:p>
    <w:p w14:paraId="5B101323">
      <w:pPr>
        <w:pStyle w:val="2"/>
        <w:rPr>
          <w:rFonts w:hint="eastAsia"/>
        </w:rPr>
      </w:pPr>
    </w:p>
    <w:p w14:paraId="162CFDBC">
      <w:pPr>
        <w:pStyle w:val="2"/>
        <w:rPr>
          <w:rFonts w:hint="eastAsia"/>
        </w:rPr>
      </w:pPr>
      <w:r>
        <w:rPr>
          <w:rFonts w:hint="eastAsia"/>
        </w:rPr>
        <w:t>Er-Rguibi O(1)(2), Dahdah H(3), Saou H(3).</w:t>
      </w:r>
    </w:p>
    <w:p w14:paraId="6165BAA7">
      <w:pPr>
        <w:pStyle w:val="2"/>
        <w:rPr>
          <w:rFonts w:hint="eastAsia"/>
        </w:rPr>
      </w:pPr>
    </w:p>
    <w:p w14:paraId="354737A7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79B64BFD">
      <w:pPr>
        <w:pStyle w:val="2"/>
        <w:rPr>
          <w:rFonts w:hint="eastAsia"/>
        </w:rPr>
      </w:pPr>
      <w:r>
        <w:rPr>
          <w:rFonts w:hint="eastAsia"/>
        </w:rPr>
        <w:t xml:space="preserve">(1)Higher Institute of Nursing Professions and Health Technics, Laâyoune, </w:t>
      </w:r>
    </w:p>
    <w:p w14:paraId="02D5FA07">
      <w:pPr>
        <w:pStyle w:val="2"/>
        <w:rPr>
          <w:rFonts w:hint="eastAsia"/>
        </w:rPr>
      </w:pPr>
      <w:r>
        <w:rPr>
          <w:rFonts w:hint="eastAsia"/>
        </w:rPr>
        <w:t>Morocco. omar.er.rguibi@gmail.com.</w:t>
      </w:r>
    </w:p>
    <w:p w14:paraId="2E687E95">
      <w:pPr>
        <w:pStyle w:val="2"/>
        <w:rPr>
          <w:rFonts w:hint="eastAsia"/>
        </w:rPr>
      </w:pPr>
      <w:r>
        <w:rPr>
          <w:rFonts w:hint="eastAsia"/>
        </w:rPr>
        <w:t xml:space="preserve">(2)Ecosystems and Environmental Sciences Team, Faculty of Applied Sciences, Ait </w:t>
      </w:r>
    </w:p>
    <w:p w14:paraId="05DE44E8">
      <w:pPr>
        <w:pStyle w:val="2"/>
        <w:rPr>
          <w:rFonts w:hint="eastAsia"/>
        </w:rPr>
      </w:pPr>
      <w:r>
        <w:rPr>
          <w:rFonts w:hint="eastAsia"/>
        </w:rPr>
        <w:t>Melloul-Ibn Zohr University, Agadir, Morocco. omar.er.rguibi@gmail.com.</w:t>
      </w:r>
    </w:p>
    <w:p w14:paraId="1CF36AAB">
      <w:pPr>
        <w:pStyle w:val="2"/>
        <w:rPr>
          <w:rFonts w:hint="eastAsia"/>
        </w:rPr>
      </w:pPr>
      <w:r>
        <w:rPr>
          <w:rFonts w:hint="eastAsia"/>
        </w:rPr>
        <w:t xml:space="preserve">(3)Higher Institute of Nursing Professions and Health Technics, Laâyoune, </w:t>
      </w:r>
    </w:p>
    <w:p w14:paraId="7CCB4AC9">
      <w:pPr>
        <w:pStyle w:val="2"/>
        <w:rPr>
          <w:rFonts w:hint="eastAsia"/>
        </w:rPr>
      </w:pPr>
      <w:r>
        <w:rPr>
          <w:rFonts w:hint="eastAsia"/>
        </w:rPr>
        <w:t>Morocco.</w:t>
      </w:r>
    </w:p>
    <w:p w14:paraId="212133C9">
      <w:pPr>
        <w:pStyle w:val="2"/>
        <w:rPr>
          <w:rFonts w:hint="eastAsia"/>
        </w:rPr>
      </w:pPr>
    </w:p>
    <w:p w14:paraId="72C6B165">
      <w:pPr>
        <w:pStyle w:val="2"/>
        <w:rPr>
          <w:rFonts w:hint="eastAsia"/>
        </w:rPr>
      </w:pPr>
      <w:r>
        <w:rPr>
          <w:rFonts w:hint="eastAsia"/>
        </w:rPr>
        <w:t xml:space="preserve">Tuberculosis (TB) treatment is often associated with adverse drug reactions </w:t>
      </w:r>
    </w:p>
    <w:p w14:paraId="348007D4">
      <w:pPr>
        <w:pStyle w:val="2"/>
        <w:rPr>
          <w:rFonts w:hint="eastAsia"/>
        </w:rPr>
      </w:pPr>
      <w:r>
        <w:rPr>
          <w:rFonts w:hint="eastAsia"/>
        </w:rPr>
        <w:t xml:space="preserve">(ADRs) of varying severity, which may negatively affect treatment adherence and </w:t>
      </w:r>
    </w:p>
    <w:p w14:paraId="48BB0281">
      <w:pPr>
        <w:pStyle w:val="2"/>
        <w:rPr>
          <w:rFonts w:hint="eastAsia"/>
        </w:rPr>
      </w:pPr>
      <w:r>
        <w:rPr>
          <w:rFonts w:hint="eastAsia"/>
        </w:rPr>
        <w:t xml:space="preserve">outcomes. This study aimed to identify ADRs related to first-line anti-TB drugs, </w:t>
      </w:r>
    </w:p>
    <w:p w14:paraId="03921944">
      <w:pPr>
        <w:pStyle w:val="2"/>
        <w:rPr>
          <w:rFonts w:hint="eastAsia"/>
        </w:rPr>
      </w:pPr>
      <w:r>
        <w:rPr>
          <w:rFonts w:hint="eastAsia"/>
        </w:rPr>
        <w:t xml:space="preserve">determine associated factors, and evaluate treatment outcomes among TB patients </w:t>
      </w:r>
    </w:p>
    <w:p w14:paraId="2352B767">
      <w:pPr>
        <w:pStyle w:val="2"/>
        <w:rPr>
          <w:rFonts w:hint="eastAsia"/>
        </w:rPr>
      </w:pPr>
      <w:r>
        <w:rPr>
          <w:rFonts w:hint="eastAsia"/>
        </w:rPr>
        <w:t xml:space="preserve">in the Laâyoune-Sakia El Hamra region of Morocco. A retrospective study was </w:t>
      </w:r>
    </w:p>
    <w:p w14:paraId="54F869F2">
      <w:pPr>
        <w:pStyle w:val="2"/>
        <w:rPr>
          <w:rFonts w:hint="eastAsia"/>
        </w:rPr>
      </w:pPr>
      <w:r>
        <w:rPr>
          <w:rFonts w:hint="eastAsia"/>
        </w:rPr>
        <w:t xml:space="preserve">conducted in southern Morocco from January 1, 2023 to December 31, 2024. Data </w:t>
      </w:r>
    </w:p>
    <w:p w14:paraId="085E96E6">
      <w:pPr>
        <w:pStyle w:val="2"/>
        <w:rPr>
          <w:rFonts w:hint="eastAsia"/>
        </w:rPr>
      </w:pPr>
      <w:r>
        <w:rPr>
          <w:rFonts w:hint="eastAsia"/>
        </w:rPr>
        <w:t xml:space="preserve">were collected from clinical charts of TB patients treated at the Center for </w:t>
      </w:r>
    </w:p>
    <w:p w14:paraId="31A939B6">
      <w:pPr>
        <w:pStyle w:val="2"/>
        <w:rPr>
          <w:rFonts w:hint="eastAsia"/>
        </w:rPr>
      </w:pPr>
      <w:r>
        <w:rPr>
          <w:rFonts w:hint="eastAsia"/>
        </w:rPr>
        <w:t xml:space="preserve">Tuberculosis and Respiratory Diseases of Laâyoune (CDTMRL). Adverse drug </w:t>
      </w:r>
    </w:p>
    <w:p w14:paraId="0D2CD417">
      <w:pPr>
        <w:pStyle w:val="2"/>
        <w:rPr>
          <w:rFonts w:hint="eastAsia"/>
        </w:rPr>
      </w:pPr>
      <w:r>
        <w:rPr>
          <w:rFonts w:hint="eastAsia"/>
        </w:rPr>
        <w:t xml:space="preserve">reactions were evaluated by a specialist clinician throughout treatment, and </w:t>
      </w:r>
    </w:p>
    <w:p w14:paraId="762C03CA">
      <w:pPr>
        <w:pStyle w:val="2"/>
        <w:rPr>
          <w:rFonts w:hint="eastAsia"/>
        </w:rPr>
      </w:pPr>
      <w:r>
        <w:rPr>
          <w:rFonts w:hint="eastAsia"/>
        </w:rPr>
        <w:t xml:space="preserve">outcomes were assessed according to World Health Organization guidelines. Among </w:t>
      </w:r>
    </w:p>
    <w:p w14:paraId="09143989">
      <w:pPr>
        <w:pStyle w:val="2"/>
        <w:rPr>
          <w:rFonts w:hint="eastAsia"/>
        </w:rPr>
      </w:pPr>
      <w:r>
        <w:rPr>
          <w:rFonts w:hint="eastAsia"/>
        </w:rPr>
        <w:t xml:space="preserve">354 TB patients, 26.55% experienced ADRs, most commonly during the intensive </w:t>
      </w:r>
    </w:p>
    <w:p w14:paraId="3394474D">
      <w:pPr>
        <w:pStyle w:val="2"/>
        <w:rPr>
          <w:rFonts w:hint="eastAsia"/>
        </w:rPr>
      </w:pPr>
      <w:r>
        <w:rPr>
          <w:rFonts w:hint="eastAsia"/>
        </w:rPr>
        <w:t xml:space="preserve">treatment phase. ADRs were significantly associated with gender, age, smoking </w:t>
      </w:r>
    </w:p>
    <w:p w14:paraId="171E202B">
      <w:pPr>
        <w:pStyle w:val="2"/>
        <w:rPr>
          <w:rFonts w:hint="eastAsia"/>
        </w:rPr>
      </w:pPr>
      <w:r>
        <w:rPr>
          <w:rFonts w:hint="eastAsia"/>
        </w:rPr>
        <w:t xml:space="preserve">status, and comorbidities, particularly diabetes and HIV infection. The majority </w:t>
      </w:r>
    </w:p>
    <w:p w14:paraId="7091E6A8">
      <w:pPr>
        <w:pStyle w:val="2"/>
        <w:rPr>
          <w:rFonts w:hint="eastAsia"/>
        </w:rPr>
      </w:pPr>
      <w:r>
        <w:rPr>
          <w:rFonts w:hint="eastAsia"/>
        </w:rPr>
        <w:t xml:space="preserve">of ADRs were hepatic (13.87%) and gastrointestinal (9.83%). Cutaneous (6.36%), </w:t>
      </w:r>
    </w:p>
    <w:p w14:paraId="3F66AB5E">
      <w:pPr>
        <w:pStyle w:val="2"/>
        <w:rPr>
          <w:rFonts w:hint="eastAsia"/>
        </w:rPr>
      </w:pPr>
      <w:r>
        <w:rPr>
          <w:rFonts w:hint="eastAsia"/>
        </w:rPr>
        <w:t xml:space="preserve">articular (6.07%), and renal (5.78%) ADRs occurred at similar frequencies. </w:t>
      </w:r>
    </w:p>
    <w:p w14:paraId="48A6316E">
      <w:pPr>
        <w:pStyle w:val="2"/>
        <w:rPr>
          <w:rFonts w:hint="eastAsia"/>
        </w:rPr>
      </w:pPr>
      <w:r>
        <w:rPr>
          <w:rFonts w:hint="eastAsia"/>
        </w:rPr>
        <w:t xml:space="preserve">Neurological, immunoallergic, cardiovascular, and urogenital ADRs were </w:t>
      </w:r>
    </w:p>
    <w:p w14:paraId="4E1FD24C">
      <w:pPr>
        <w:pStyle w:val="2"/>
        <w:rPr>
          <w:rFonts w:hint="eastAsia"/>
        </w:rPr>
      </w:pPr>
      <w:r>
        <w:rPr>
          <w:rFonts w:hint="eastAsia"/>
        </w:rPr>
        <w:t xml:space="preserve">comparatively less frequent. Most reactions were mild to moderate and managed </w:t>
      </w:r>
    </w:p>
    <w:p w14:paraId="639AD192">
      <w:pPr>
        <w:pStyle w:val="2"/>
        <w:rPr>
          <w:rFonts w:hint="eastAsia"/>
        </w:rPr>
      </w:pPr>
      <w:r>
        <w:rPr>
          <w:rFonts w:hint="eastAsia"/>
        </w:rPr>
        <w:t xml:space="preserve">symptomatically, with few requiring treatment modifications and no ADR-related </w:t>
      </w:r>
    </w:p>
    <w:p w14:paraId="34E6664F">
      <w:pPr>
        <w:pStyle w:val="2"/>
        <w:rPr>
          <w:rFonts w:hint="eastAsia"/>
        </w:rPr>
      </w:pPr>
      <w:r>
        <w:rPr>
          <w:rFonts w:hint="eastAsia"/>
        </w:rPr>
        <w:t xml:space="preserve">deaths. Treatment success outcomes were achieved in 81.1% of patients and </w:t>
      </w:r>
    </w:p>
    <w:p w14:paraId="6CE249C4">
      <w:pPr>
        <w:pStyle w:val="2"/>
        <w:rPr>
          <w:rFonts w:hint="eastAsia"/>
        </w:rPr>
      </w:pPr>
      <w:r>
        <w:rPr>
          <w:rFonts w:hint="eastAsia"/>
        </w:rPr>
        <w:t xml:space="preserve">unsuccessful treatment accounted for 10.73%. Adverse reactions to first-line </w:t>
      </w:r>
    </w:p>
    <w:p w14:paraId="2C59E78D">
      <w:pPr>
        <w:pStyle w:val="2"/>
        <w:rPr>
          <w:rFonts w:hint="eastAsia"/>
        </w:rPr>
      </w:pPr>
      <w:r>
        <w:rPr>
          <w:rFonts w:hint="eastAsia"/>
        </w:rPr>
        <w:t xml:space="preserve">anti-TB medications are relatively common and highlight the need for close </w:t>
      </w:r>
    </w:p>
    <w:p w14:paraId="0B34A04C">
      <w:pPr>
        <w:pStyle w:val="2"/>
        <w:rPr>
          <w:rFonts w:hint="eastAsia"/>
        </w:rPr>
      </w:pPr>
      <w:r>
        <w:rPr>
          <w:rFonts w:hint="eastAsia"/>
        </w:rPr>
        <w:t xml:space="preserve">clinical monitoring throughout the treatment period. Strengthening </w:t>
      </w:r>
    </w:p>
    <w:p w14:paraId="637CF7CC">
      <w:pPr>
        <w:pStyle w:val="2"/>
        <w:rPr>
          <w:rFonts w:hint="eastAsia"/>
        </w:rPr>
      </w:pPr>
      <w:r>
        <w:rPr>
          <w:rFonts w:hint="eastAsia"/>
        </w:rPr>
        <w:t xml:space="preserve">pharmacovigilance and improving patient education may help enhance treatment </w:t>
      </w:r>
    </w:p>
    <w:p w14:paraId="73F79B69">
      <w:pPr>
        <w:pStyle w:val="2"/>
        <w:rPr>
          <w:rFonts w:hint="eastAsia"/>
        </w:rPr>
      </w:pPr>
      <w:r>
        <w:rPr>
          <w:rFonts w:hint="eastAsia"/>
        </w:rPr>
        <w:t>adherence and reduce complications.</w:t>
      </w:r>
    </w:p>
    <w:p w14:paraId="2AB7361D">
      <w:pPr>
        <w:pStyle w:val="2"/>
        <w:rPr>
          <w:rFonts w:hint="eastAsia"/>
        </w:rPr>
      </w:pPr>
    </w:p>
    <w:p w14:paraId="674A8E5A">
      <w:pPr>
        <w:pStyle w:val="2"/>
        <w:rPr>
          <w:rFonts w:hint="eastAsia"/>
        </w:rPr>
      </w:pPr>
      <w:r>
        <w:rPr>
          <w:rFonts w:hint="eastAsia"/>
        </w:rPr>
        <w:t xml:space="preserve">© 2026. The Author(s), under exclusive licence to Springer-Verlag GmbH Germany, </w:t>
      </w:r>
    </w:p>
    <w:p w14:paraId="38FD8F31">
      <w:pPr>
        <w:pStyle w:val="2"/>
        <w:rPr>
          <w:rFonts w:hint="eastAsia"/>
        </w:rPr>
      </w:pPr>
      <w:r>
        <w:rPr>
          <w:rFonts w:hint="eastAsia"/>
        </w:rPr>
        <w:t>part of Springer Nature.</w:t>
      </w:r>
    </w:p>
    <w:p w14:paraId="46ED51A4">
      <w:pPr>
        <w:pStyle w:val="2"/>
        <w:rPr>
          <w:rFonts w:hint="eastAsia"/>
        </w:rPr>
      </w:pPr>
    </w:p>
    <w:p w14:paraId="34BD410C">
      <w:pPr>
        <w:pStyle w:val="2"/>
        <w:rPr>
          <w:rFonts w:hint="eastAsia"/>
        </w:rPr>
      </w:pPr>
      <w:r>
        <w:rPr>
          <w:rFonts w:hint="eastAsia"/>
        </w:rPr>
        <w:t>DOI: 10.1007/s00210-026-05983-6</w:t>
      </w:r>
    </w:p>
    <w:p w14:paraId="583EFD64">
      <w:pPr>
        <w:pStyle w:val="2"/>
        <w:rPr>
          <w:rFonts w:hint="eastAsia"/>
        </w:rPr>
      </w:pPr>
      <w:r>
        <w:rPr>
          <w:rFonts w:hint="eastAsia"/>
        </w:rPr>
        <w:t>PMID: 42836976</w:t>
      </w:r>
    </w:p>
    <w:p w14:paraId="66B1827C">
      <w:pPr>
        <w:pStyle w:val="2"/>
        <w:rPr>
          <w:rFonts w:hint="eastAsia"/>
        </w:rPr>
      </w:pPr>
    </w:p>
    <w:p w14:paraId="70582344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46</w:t>
      </w:r>
      <w:r>
        <w:rPr>
          <w:rFonts w:hint="eastAsia"/>
          <w:b/>
          <w:bCs/>
          <w:color w:val="FF0000"/>
        </w:rPr>
        <w:t xml:space="preserve">. Ann Nucl Med. 2026 Oct 6. doi: 10.1007/s12149-026-02296-9. Online ahead of </w:t>
      </w:r>
    </w:p>
    <w:p w14:paraId="719C2D87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print.</w:t>
      </w:r>
    </w:p>
    <w:p w14:paraId="2CA53F9B">
      <w:pPr>
        <w:pStyle w:val="2"/>
        <w:rPr>
          <w:rFonts w:hint="eastAsia"/>
        </w:rPr>
      </w:pPr>
    </w:p>
    <w:p w14:paraId="4440CD1C">
      <w:pPr>
        <w:pStyle w:val="2"/>
        <w:rPr>
          <w:rFonts w:hint="eastAsia"/>
        </w:rPr>
      </w:pPr>
      <w:r>
        <w:rPr>
          <w:rFonts w:hint="eastAsia"/>
        </w:rPr>
        <w:t xml:space="preserve">Prospective feasibility study of [68Ga]Gallium citrate PET/CT for treatment </w:t>
      </w:r>
    </w:p>
    <w:p w14:paraId="3DF827B8">
      <w:pPr>
        <w:pStyle w:val="2"/>
        <w:rPr>
          <w:rFonts w:hint="eastAsia"/>
        </w:rPr>
      </w:pPr>
      <w:r>
        <w:rPr>
          <w:rFonts w:hint="eastAsia"/>
        </w:rPr>
        <w:t xml:space="preserve">response assessment in spinal tuberculosis: exploratory comparison with </w:t>
      </w:r>
    </w:p>
    <w:p w14:paraId="7C5FE056">
      <w:pPr>
        <w:pStyle w:val="2"/>
        <w:rPr>
          <w:rFonts w:hint="eastAsia"/>
        </w:rPr>
      </w:pPr>
      <w:r>
        <w:rPr>
          <w:rFonts w:hint="eastAsia"/>
        </w:rPr>
        <w:t>follow-up [18 F]FDG PET/CT.</w:t>
      </w:r>
    </w:p>
    <w:p w14:paraId="315D10B4">
      <w:pPr>
        <w:pStyle w:val="2"/>
        <w:rPr>
          <w:rFonts w:hint="eastAsia"/>
        </w:rPr>
      </w:pPr>
    </w:p>
    <w:p w14:paraId="4C9E1F1C">
      <w:pPr>
        <w:pStyle w:val="2"/>
        <w:rPr>
          <w:rFonts w:hint="eastAsia"/>
        </w:rPr>
      </w:pPr>
      <w:r>
        <w:rPr>
          <w:rFonts w:hint="eastAsia"/>
        </w:rPr>
        <w:t xml:space="preserve">Varghese JK(1), Sunny SS(1), Arockiaraj J(2), Venkatesh K(2), Manesh SA(3), </w:t>
      </w:r>
    </w:p>
    <w:p w14:paraId="25ACBE74">
      <w:pPr>
        <w:pStyle w:val="2"/>
        <w:rPr>
          <w:rFonts w:hint="eastAsia"/>
        </w:rPr>
      </w:pPr>
      <w:r>
        <w:rPr>
          <w:rFonts w:hint="eastAsia"/>
        </w:rPr>
        <w:t>Gowri SM(4), Hephzibah J(5).</w:t>
      </w:r>
    </w:p>
    <w:p w14:paraId="30CEE4C5">
      <w:pPr>
        <w:pStyle w:val="2"/>
        <w:rPr>
          <w:rFonts w:hint="eastAsia"/>
        </w:rPr>
      </w:pPr>
    </w:p>
    <w:p w14:paraId="12756198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1AA6F33C">
      <w:pPr>
        <w:pStyle w:val="2"/>
        <w:rPr>
          <w:rFonts w:hint="eastAsia"/>
        </w:rPr>
      </w:pPr>
      <w:r>
        <w:rPr>
          <w:rFonts w:hint="eastAsia"/>
        </w:rPr>
        <w:t xml:space="preserve">(1)Department of Nuclear Medicine, Christian Medical College (CMC), Vellore, </w:t>
      </w:r>
    </w:p>
    <w:p w14:paraId="5CE5BBA1">
      <w:pPr>
        <w:pStyle w:val="2"/>
        <w:rPr>
          <w:rFonts w:hint="eastAsia"/>
        </w:rPr>
      </w:pPr>
      <w:r>
        <w:rPr>
          <w:rFonts w:hint="eastAsia"/>
        </w:rPr>
        <w:t>Tamil Nadu, 632004, India.</w:t>
      </w:r>
    </w:p>
    <w:p w14:paraId="15837264">
      <w:pPr>
        <w:pStyle w:val="2"/>
        <w:rPr>
          <w:rFonts w:hint="eastAsia"/>
        </w:rPr>
      </w:pPr>
      <w:r>
        <w:rPr>
          <w:rFonts w:hint="eastAsia"/>
        </w:rPr>
        <w:t>(2)Department of Spine Surgery, Christian Medical College, Vellore, India.</w:t>
      </w:r>
    </w:p>
    <w:p w14:paraId="10074813">
      <w:pPr>
        <w:pStyle w:val="2"/>
        <w:rPr>
          <w:rFonts w:hint="eastAsia"/>
        </w:rPr>
      </w:pPr>
      <w:r>
        <w:rPr>
          <w:rFonts w:hint="eastAsia"/>
        </w:rPr>
        <w:t>(3)Department of Infectious Diseases, Christian Medical College, Vellore, India.</w:t>
      </w:r>
    </w:p>
    <w:p w14:paraId="4BD68713">
      <w:pPr>
        <w:pStyle w:val="2"/>
        <w:rPr>
          <w:rFonts w:hint="eastAsia"/>
        </w:rPr>
      </w:pPr>
      <w:r>
        <w:rPr>
          <w:rFonts w:hint="eastAsia"/>
        </w:rPr>
        <w:t>(4)Department of Biostatistics, Christian Medical College, Vellore, India.</w:t>
      </w:r>
    </w:p>
    <w:p w14:paraId="594AB341">
      <w:pPr>
        <w:pStyle w:val="2"/>
        <w:rPr>
          <w:rFonts w:hint="eastAsia"/>
        </w:rPr>
      </w:pPr>
      <w:r>
        <w:rPr>
          <w:rFonts w:hint="eastAsia"/>
        </w:rPr>
        <w:t xml:space="preserve">(5)Department of Nuclear Medicine, Christian Medical College (CMC), Vellore, </w:t>
      </w:r>
    </w:p>
    <w:p w14:paraId="2B9076B3">
      <w:pPr>
        <w:pStyle w:val="2"/>
        <w:rPr>
          <w:rFonts w:hint="eastAsia"/>
        </w:rPr>
      </w:pPr>
      <w:r>
        <w:rPr>
          <w:rFonts w:hint="eastAsia"/>
        </w:rPr>
        <w:t>Tamil Nadu, 632004, India. drjulsan@cmcvellore.ac.in.</w:t>
      </w:r>
    </w:p>
    <w:p w14:paraId="6E5041F9">
      <w:pPr>
        <w:pStyle w:val="2"/>
        <w:rPr>
          <w:rFonts w:hint="eastAsia"/>
        </w:rPr>
      </w:pPr>
    </w:p>
    <w:p w14:paraId="7122AF86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OBJECTIVE: </w:t>
      </w:r>
      <w:r>
        <w:rPr>
          <w:rFonts w:hint="eastAsia"/>
        </w:rPr>
        <w:t xml:space="preserve">Spinal tuberculosis (STB) remains a major clinical challenge in </w:t>
      </w:r>
    </w:p>
    <w:p w14:paraId="0D5FE325">
      <w:pPr>
        <w:pStyle w:val="2"/>
        <w:rPr>
          <w:rFonts w:hint="eastAsia"/>
        </w:rPr>
      </w:pPr>
      <w:r>
        <w:rPr>
          <w:rFonts w:hint="eastAsia"/>
        </w:rPr>
        <w:t xml:space="preserve">high-burden countries. Infection imaging agents such as [18 F]FDG and </w:t>
      </w:r>
    </w:p>
    <w:p w14:paraId="58276D05">
      <w:pPr>
        <w:pStyle w:val="2"/>
        <w:rPr>
          <w:rFonts w:hint="eastAsia"/>
        </w:rPr>
      </w:pPr>
      <w:r>
        <w:rPr>
          <w:rFonts w:hint="eastAsia"/>
        </w:rPr>
        <w:t xml:space="preserve">[67Ga]Gallium citrate have limitations in specificity and interpretation. </w:t>
      </w:r>
    </w:p>
    <w:p w14:paraId="6865B66B">
      <w:pPr>
        <w:pStyle w:val="2"/>
        <w:rPr>
          <w:rFonts w:hint="eastAsia"/>
        </w:rPr>
      </w:pPr>
      <w:r>
        <w:rPr>
          <w:rFonts w:hint="eastAsia"/>
        </w:rPr>
        <w:t xml:space="preserve">[68Ga]Gallium citrate, produced via a [68Ge/68Ga] generator, offers logistical </w:t>
      </w:r>
    </w:p>
    <w:p w14:paraId="2C54313C">
      <w:pPr>
        <w:pStyle w:val="2"/>
        <w:rPr>
          <w:rFonts w:hint="eastAsia"/>
        </w:rPr>
      </w:pPr>
      <w:r>
        <w:rPr>
          <w:rFonts w:hint="eastAsia"/>
        </w:rPr>
        <w:t xml:space="preserve">and economic advantages. This prospective feasibility study evaluated the </w:t>
      </w:r>
    </w:p>
    <w:p w14:paraId="11CBD1E7">
      <w:pPr>
        <w:pStyle w:val="2"/>
        <w:rPr>
          <w:rFonts w:hint="eastAsia"/>
        </w:rPr>
      </w:pPr>
      <w:r>
        <w:rPr>
          <w:rFonts w:hint="eastAsia"/>
        </w:rPr>
        <w:t xml:space="preserve">potential utility of [68Ga]Gallium citrate PET/CT in patients with spinal </w:t>
      </w:r>
    </w:p>
    <w:p w14:paraId="4615376E">
      <w:pPr>
        <w:pStyle w:val="2"/>
        <w:rPr>
          <w:rFonts w:hint="eastAsia"/>
        </w:rPr>
      </w:pPr>
      <w:r>
        <w:rPr>
          <w:rFonts w:hint="eastAsia"/>
        </w:rPr>
        <w:t xml:space="preserve">tuberculosis and descriptively explored follow-up [18 F]FDG PET/CT findings in a </w:t>
      </w:r>
    </w:p>
    <w:p w14:paraId="2BF1FBC3">
      <w:pPr>
        <w:pStyle w:val="2"/>
        <w:rPr>
          <w:rFonts w:hint="eastAsia"/>
        </w:rPr>
      </w:pPr>
      <w:r>
        <w:rPr>
          <w:rFonts w:hint="eastAsia"/>
        </w:rPr>
        <w:t>subset of patients.</w:t>
      </w:r>
    </w:p>
    <w:p w14:paraId="544E7066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METHODS: </w:t>
      </w:r>
      <w:r>
        <w:rPr>
          <w:rFonts w:hint="eastAsia"/>
        </w:rPr>
        <w:t xml:space="preserve">Thirty-two patients with suspected or confirmed spinal TB underwent </w:t>
      </w:r>
    </w:p>
    <w:p w14:paraId="3BA07BDB">
      <w:pPr>
        <w:pStyle w:val="2"/>
        <w:rPr>
          <w:rFonts w:hint="eastAsia"/>
        </w:rPr>
      </w:pPr>
      <w:r>
        <w:rPr>
          <w:rFonts w:hint="eastAsia"/>
        </w:rPr>
        <w:t xml:space="preserve">early treatment baseline [68Ga]Gallium citrate PET/CT within one month of ATT </w:t>
      </w:r>
    </w:p>
    <w:p w14:paraId="182CBE4F">
      <w:pPr>
        <w:pStyle w:val="2"/>
        <w:rPr>
          <w:rFonts w:hint="eastAsia"/>
        </w:rPr>
      </w:pPr>
      <w:r>
        <w:rPr>
          <w:rFonts w:hint="eastAsia"/>
        </w:rPr>
        <w:t xml:space="preserve">initiation. Spinal lesions demonstrating [68Ga]Gallium citrate uptake equal to </w:t>
      </w:r>
    </w:p>
    <w:p w14:paraId="115D8E28">
      <w:pPr>
        <w:pStyle w:val="2"/>
        <w:rPr>
          <w:rFonts w:hint="eastAsia"/>
        </w:rPr>
      </w:pPr>
      <w:r>
        <w:rPr>
          <w:rFonts w:hint="eastAsia"/>
        </w:rPr>
        <w:t xml:space="preserve">or greater than abdominal aortic blood-pool activity were visually classified as </w:t>
      </w:r>
    </w:p>
    <w:p w14:paraId="40121D16">
      <w:pPr>
        <w:pStyle w:val="2"/>
        <w:rPr>
          <w:rFonts w:hint="eastAsia"/>
        </w:rPr>
      </w:pPr>
      <w:r>
        <w:rPr>
          <w:rFonts w:hint="eastAsia"/>
        </w:rPr>
        <w:t xml:space="preserve">positive. Follow-up [68Ga]Gallium citrate PET/CT was performed after 9-12 months </w:t>
      </w:r>
    </w:p>
    <w:p w14:paraId="3BF16344">
      <w:pPr>
        <w:pStyle w:val="2"/>
        <w:rPr>
          <w:rFonts w:hint="eastAsia"/>
        </w:rPr>
      </w:pPr>
      <w:r>
        <w:rPr>
          <w:rFonts w:hint="eastAsia"/>
        </w:rPr>
        <w:t xml:space="preserve">in 21 patients, all of whom demonstrated favourable clinical response. Seventeen </w:t>
      </w:r>
    </w:p>
    <w:p w14:paraId="733D3E7A">
      <w:pPr>
        <w:pStyle w:val="2"/>
        <w:rPr>
          <w:rFonts w:hint="eastAsia"/>
        </w:rPr>
      </w:pPr>
      <w:r>
        <w:rPr>
          <w:rFonts w:hint="eastAsia"/>
        </w:rPr>
        <w:t xml:space="preserve">of these patients also underwent follow-up [18 F]FDG PET/CT. Imaging findings </w:t>
      </w:r>
    </w:p>
    <w:p w14:paraId="08C9F21D">
      <w:pPr>
        <w:pStyle w:val="2"/>
        <w:rPr>
          <w:rFonts w:hint="eastAsia"/>
        </w:rPr>
      </w:pPr>
      <w:r>
        <w:rPr>
          <w:rFonts w:hint="eastAsia"/>
        </w:rPr>
        <w:t xml:space="preserve">were descriptively correlated with available clinical, radiological, </w:t>
      </w:r>
    </w:p>
    <w:p w14:paraId="31D75819">
      <w:pPr>
        <w:pStyle w:val="2"/>
        <w:rPr>
          <w:rFonts w:hint="eastAsia"/>
        </w:rPr>
      </w:pPr>
      <w:r>
        <w:rPr>
          <w:rFonts w:hint="eastAsia"/>
        </w:rPr>
        <w:t>biochemical, microbiological, and histopathological findings.</w:t>
      </w:r>
    </w:p>
    <w:p w14:paraId="74A9CAE0">
      <w:pPr>
        <w:pStyle w:val="2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At early treatment baseline imaging, 22/32 patients (68.8%) </w:t>
      </w:r>
    </w:p>
    <w:p w14:paraId="052F45AA">
      <w:pPr>
        <w:pStyle w:val="2"/>
        <w:rPr>
          <w:rFonts w:hint="eastAsia"/>
        </w:rPr>
      </w:pPr>
      <w:r>
        <w:rPr>
          <w:rFonts w:hint="eastAsia"/>
        </w:rPr>
        <w:t xml:space="preserve">demonstrated increased spinal [68Ga]Gallium citrate uptake, whereas 10/32 </w:t>
      </w:r>
    </w:p>
    <w:p w14:paraId="311402A3">
      <w:pPr>
        <w:pStyle w:val="2"/>
        <w:rPr>
          <w:rFonts w:hint="eastAsia"/>
        </w:rPr>
      </w:pPr>
      <w:r>
        <w:rPr>
          <w:rFonts w:hint="eastAsia"/>
        </w:rPr>
        <w:t xml:space="preserve">(31.2%) showed no abnormal spinal uptake. Among the 21 patients who underwent </w:t>
      </w:r>
    </w:p>
    <w:p w14:paraId="37694F87">
      <w:pPr>
        <w:pStyle w:val="2"/>
        <w:rPr>
          <w:rFonts w:hint="eastAsia"/>
        </w:rPr>
      </w:pPr>
      <w:r>
        <w:rPr>
          <w:rFonts w:hint="eastAsia"/>
        </w:rPr>
        <w:t xml:space="preserve">follow-up [68Ga]Gallium citrate PET/CT, 12 had demonstrated positive spinal </w:t>
      </w:r>
    </w:p>
    <w:p w14:paraId="60DD545B">
      <w:pPr>
        <w:pStyle w:val="2"/>
        <w:rPr>
          <w:rFonts w:hint="eastAsia"/>
        </w:rPr>
      </w:pPr>
      <w:r>
        <w:rPr>
          <w:rFonts w:hint="eastAsia"/>
        </w:rPr>
        <w:t xml:space="preserve">uptake at baseline and 9 had been negative. All 12 baseline-positive patients </w:t>
      </w:r>
    </w:p>
    <w:p w14:paraId="61095748">
      <w:pPr>
        <w:pStyle w:val="2"/>
        <w:rPr>
          <w:rFonts w:hint="eastAsia"/>
        </w:rPr>
      </w:pPr>
      <w:r>
        <w:rPr>
          <w:rFonts w:hint="eastAsia"/>
        </w:rPr>
        <w:t xml:space="preserve">demonstrated resolution of spinal [68Ga]Gallium citrate uptake at follow-up, </w:t>
      </w:r>
    </w:p>
    <w:p w14:paraId="760C4E7B">
      <w:pPr>
        <w:pStyle w:val="2"/>
        <w:rPr>
          <w:rFonts w:hint="eastAsia"/>
        </w:rPr>
      </w:pPr>
      <w:r>
        <w:rPr>
          <w:rFonts w:hint="eastAsia"/>
        </w:rPr>
        <w:t xml:space="preserve">while the 9 baseline-negative patients remained negative. All 21 patients </w:t>
      </w:r>
    </w:p>
    <w:p w14:paraId="5C4786F4">
      <w:pPr>
        <w:pStyle w:val="2"/>
        <w:rPr>
          <w:rFonts w:hint="eastAsia"/>
        </w:rPr>
      </w:pPr>
      <w:r>
        <w:rPr>
          <w:rFonts w:hint="eastAsia"/>
        </w:rPr>
        <w:t xml:space="preserve">demonstrated favourable clinical response. Among the 17 patients who also </w:t>
      </w:r>
    </w:p>
    <w:p w14:paraId="4546E9DF">
      <w:pPr>
        <w:pStyle w:val="2"/>
        <w:rPr>
          <w:rFonts w:hint="eastAsia"/>
        </w:rPr>
      </w:pPr>
      <w:r>
        <w:rPr>
          <w:rFonts w:hint="eastAsia"/>
        </w:rPr>
        <w:t xml:space="preserve">underwent follow-up [18 F]FDG PET/CT, residual spinal [18 F]FDG uptake was </w:t>
      </w:r>
    </w:p>
    <w:p w14:paraId="38C95414">
      <w:pPr>
        <w:pStyle w:val="2"/>
        <w:rPr>
          <w:rFonts w:hint="eastAsia"/>
        </w:rPr>
      </w:pPr>
      <w:r>
        <w:rPr>
          <w:rFonts w:hint="eastAsia"/>
        </w:rPr>
        <w:t>observed in 13, whereas 4 showed no abnormal uptake.</w:t>
      </w:r>
    </w:p>
    <w:p w14:paraId="48E8D2CE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CONCLUSION: </w:t>
      </w:r>
      <w:r>
        <w:rPr>
          <w:rFonts w:hint="eastAsia"/>
        </w:rPr>
        <w:t xml:space="preserve">In this prospective feasibility study, all patients with baseline </w:t>
      </w:r>
    </w:p>
    <w:p w14:paraId="4BF10B50">
      <w:pPr>
        <w:pStyle w:val="2"/>
        <w:rPr>
          <w:rFonts w:hint="eastAsia"/>
        </w:rPr>
      </w:pPr>
      <w:r>
        <w:rPr>
          <w:rFonts w:hint="eastAsia"/>
        </w:rPr>
        <w:t xml:space="preserve">[68Ga]Gallium citrate avidity who underwent follow-up imaging demonstrated </w:t>
      </w:r>
    </w:p>
    <w:p w14:paraId="4865C76C">
      <w:pPr>
        <w:pStyle w:val="2"/>
        <w:rPr>
          <w:rFonts w:hint="eastAsia"/>
        </w:rPr>
      </w:pPr>
      <w:r>
        <w:rPr>
          <w:rFonts w:hint="eastAsia"/>
        </w:rPr>
        <w:t xml:space="preserve">complete resolution of tracer uptake, accompanied by a favourable clinical </w:t>
      </w:r>
    </w:p>
    <w:p w14:paraId="7986B925">
      <w:pPr>
        <w:pStyle w:val="2"/>
        <w:rPr>
          <w:rFonts w:hint="eastAsia"/>
        </w:rPr>
      </w:pPr>
      <w:r>
        <w:rPr>
          <w:rFonts w:hint="eastAsia"/>
        </w:rPr>
        <w:t xml:space="preserve">response. Because no treatment failures or non-responders were encountered, the </w:t>
      </w:r>
    </w:p>
    <w:p w14:paraId="3ED70F2E">
      <w:pPr>
        <w:pStyle w:val="2"/>
        <w:rPr>
          <w:rFonts w:hint="eastAsia"/>
        </w:rPr>
      </w:pPr>
      <w:r>
        <w:rPr>
          <w:rFonts w:hint="eastAsia"/>
        </w:rPr>
        <w:t xml:space="preserve">ability of [68Ga]Gallium citrate PET/CT to identify persistent active disease or </w:t>
      </w:r>
    </w:p>
    <w:p w14:paraId="59EBA322">
      <w:pPr>
        <w:pStyle w:val="2"/>
        <w:rPr>
          <w:rFonts w:hint="eastAsia"/>
        </w:rPr>
      </w:pPr>
      <w:r>
        <w:rPr>
          <w:rFonts w:hint="eastAsia"/>
        </w:rPr>
        <w:t xml:space="preserve">predict treatment outcome could not be assessed. However, persistent [18 F]FDG </w:t>
      </w:r>
    </w:p>
    <w:p w14:paraId="65DEF59A">
      <w:pPr>
        <w:pStyle w:val="2"/>
        <w:rPr>
          <w:rFonts w:hint="eastAsia"/>
        </w:rPr>
      </w:pPr>
      <w:r>
        <w:rPr>
          <w:rFonts w:hint="eastAsia"/>
        </w:rPr>
        <w:t xml:space="preserve">uptake was observed in several patients at follow-up. These findings should be </w:t>
      </w:r>
    </w:p>
    <w:p w14:paraId="4C44E4EA">
      <w:pPr>
        <w:pStyle w:val="2"/>
        <w:rPr>
          <w:rFonts w:hint="eastAsia"/>
        </w:rPr>
      </w:pPr>
      <w:r>
        <w:rPr>
          <w:rFonts w:hint="eastAsia"/>
        </w:rPr>
        <w:t xml:space="preserve">interpreted as exploratory, given the absence of baseline [18 F]FDG PET/CT for </w:t>
      </w:r>
    </w:p>
    <w:p w14:paraId="09D06F62">
      <w:pPr>
        <w:pStyle w:val="2"/>
        <w:rPr>
          <w:rFonts w:hint="eastAsia"/>
        </w:rPr>
      </w:pPr>
      <w:r>
        <w:rPr>
          <w:rFonts w:hint="eastAsia"/>
        </w:rPr>
        <w:t xml:space="preserve">comparison. Larger prospective studies including patients with heterogeneous </w:t>
      </w:r>
    </w:p>
    <w:p w14:paraId="5E53EE18">
      <w:pPr>
        <w:pStyle w:val="2"/>
        <w:rPr>
          <w:rFonts w:hint="eastAsia"/>
        </w:rPr>
      </w:pPr>
      <w:r>
        <w:rPr>
          <w:rFonts w:hint="eastAsia"/>
        </w:rPr>
        <w:t xml:space="preserve">treatment outcomes are required to determine the role of [68Ga]Gallium citrate </w:t>
      </w:r>
    </w:p>
    <w:p w14:paraId="40978F95">
      <w:pPr>
        <w:pStyle w:val="2"/>
        <w:rPr>
          <w:rFonts w:hint="eastAsia"/>
        </w:rPr>
      </w:pPr>
      <w:r>
        <w:rPr>
          <w:rFonts w:hint="eastAsia"/>
        </w:rPr>
        <w:t>PET/CT in treatment response assessment.</w:t>
      </w:r>
    </w:p>
    <w:p w14:paraId="5B2F47C3">
      <w:pPr>
        <w:pStyle w:val="2"/>
        <w:rPr>
          <w:rFonts w:hint="eastAsia"/>
        </w:rPr>
      </w:pPr>
    </w:p>
    <w:p w14:paraId="6267B641">
      <w:pPr>
        <w:pStyle w:val="2"/>
        <w:rPr>
          <w:rFonts w:hint="eastAsia"/>
        </w:rPr>
      </w:pPr>
      <w:r>
        <w:rPr>
          <w:rFonts w:hint="eastAsia"/>
        </w:rPr>
        <w:t xml:space="preserve">© 2026. The Author(s) under exclusive licence to The Japanese Society of Nuclear </w:t>
      </w:r>
    </w:p>
    <w:p w14:paraId="5D573F26">
      <w:pPr>
        <w:pStyle w:val="2"/>
        <w:rPr>
          <w:rFonts w:hint="eastAsia"/>
        </w:rPr>
      </w:pPr>
      <w:r>
        <w:rPr>
          <w:rFonts w:hint="eastAsia"/>
        </w:rPr>
        <w:t>Medicine.</w:t>
      </w:r>
    </w:p>
    <w:p w14:paraId="43CDD7AB">
      <w:pPr>
        <w:pStyle w:val="2"/>
        <w:rPr>
          <w:rFonts w:hint="eastAsia"/>
        </w:rPr>
      </w:pPr>
    </w:p>
    <w:p w14:paraId="696361F8">
      <w:pPr>
        <w:pStyle w:val="2"/>
        <w:rPr>
          <w:rFonts w:hint="eastAsia"/>
        </w:rPr>
      </w:pPr>
      <w:r>
        <w:rPr>
          <w:rFonts w:hint="eastAsia"/>
        </w:rPr>
        <w:t>DOI: 10.1007/s12149-026-02296-9</w:t>
      </w:r>
    </w:p>
    <w:p w14:paraId="102C4226">
      <w:pPr>
        <w:pStyle w:val="2"/>
        <w:rPr>
          <w:rFonts w:hint="eastAsia"/>
        </w:rPr>
      </w:pPr>
      <w:r>
        <w:rPr>
          <w:rFonts w:hint="eastAsia"/>
        </w:rPr>
        <w:t>PMID: 42836940</w:t>
      </w:r>
    </w:p>
    <w:p w14:paraId="34795DF6">
      <w:pPr>
        <w:pStyle w:val="2"/>
        <w:rPr>
          <w:rFonts w:hint="eastAsia"/>
        </w:rPr>
      </w:pPr>
    </w:p>
    <w:p w14:paraId="54B7EA6B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47</w:t>
      </w:r>
      <w:r>
        <w:rPr>
          <w:rFonts w:hint="eastAsia"/>
          <w:b/>
          <w:bCs/>
          <w:color w:val="FF0000"/>
        </w:rPr>
        <w:t>. Eur J Clin Microbiol Infect Dis. 2026 Oct 6. doi: 10.1007/s10096-026-05688-x. Online ahead of print.</w:t>
      </w:r>
    </w:p>
    <w:p w14:paraId="4C7AD0DC">
      <w:pPr>
        <w:pStyle w:val="2"/>
        <w:rPr>
          <w:rFonts w:hint="eastAsia"/>
        </w:rPr>
      </w:pPr>
    </w:p>
    <w:p w14:paraId="7CAECFF3">
      <w:pPr>
        <w:pStyle w:val="2"/>
        <w:rPr>
          <w:rFonts w:hint="eastAsia"/>
        </w:rPr>
      </w:pPr>
      <w:r>
        <w:rPr>
          <w:rFonts w:hint="eastAsia"/>
        </w:rPr>
        <w:t xml:space="preserve">Current laboratory diagnostics for tuberculosis: from conventional approaches to </w:t>
      </w:r>
    </w:p>
    <w:p w14:paraId="56946CBE">
      <w:pPr>
        <w:pStyle w:val="2"/>
        <w:rPr>
          <w:rFonts w:hint="eastAsia"/>
        </w:rPr>
      </w:pPr>
      <w:r>
        <w:rPr>
          <w:rFonts w:hint="eastAsia"/>
        </w:rPr>
        <w:t>next-generation molecular and immunological technologies.</w:t>
      </w:r>
    </w:p>
    <w:p w14:paraId="30E3A0D1">
      <w:pPr>
        <w:pStyle w:val="2"/>
        <w:rPr>
          <w:rFonts w:hint="eastAsia"/>
        </w:rPr>
      </w:pPr>
    </w:p>
    <w:p w14:paraId="03669664">
      <w:pPr>
        <w:pStyle w:val="2"/>
        <w:rPr>
          <w:rFonts w:hint="eastAsia"/>
        </w:rPr>
      </w:pPr>
      <w:r>
        <w:rPr>
          <w:rFonts w:hint="eastAsia"/>
        </w:rPr>
        <w:t>Kisa O(1).</w:t>
      </w:r>
    </w:p>
    <w:p w14:paraId="0699A3C3">
      <w:pPr>
        <w:pStyle w:val="2"/>
        <w:rPr>
          <w:rFonts w:hint="eastAsia"/>
        </w:rPr>
      </w:pPr>
    </w:p>
    <w:p w14:paraId="301D2BDD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2C51E406">
      <w:pPr>
        <w:pStyle w:val="2"/>
        <w:rPr>
          <w:rFonts w:hint="eastAsia"/>
        </w:rPr>
      </w:pPr>
      <w:r>
        <w:rPr>
          <w:rFonts w:hint="eastAsia"/>
        </w:rPr>
        <w:t xml:space="preserve">(1)Department of Medical Microbiology, Faculty of Medicine, Yüksek İhtisas </w:t>
      </w:r>
    </w:p>
    <w:p w14:paraId="49E524BC">
      <w:pPr>
        <w:pStyle w:val="2"/>
        <w:rPr>
          <w:rFonts w:hint="eastAsia"/>
        </w:rPr>
      </w:pPr>
      <w:r>
        <w:rPr>
          <w:rFonts w:hint="eastAsia"/>
        </w:rPr>
        <w:t>University, Ankara, Türkiye. ozgul.kisa@yuksekihtisas.edu.tr.</w:t>
      </w:r>
    </w:p>
    <w:p w14:paraId="6DD5001A">
      <w:pPr>
        <w:pStyle w:val="2"/>
        <w:rPr>
          <w:rFonts w:hint="eastAsia"/>
        </w:rPr>
      </w:pPr>
    </w:p>
    <w:p w14:paraId="14063BBA">
      <w:pPr>
        <w:pStyle w:val="2"/>
        <w:rPr>
          <w:rFonts w:hint="eastAsia"/>
        </w:rPr>
      </w:pPr>
      <w:r>
        <w:rPr>
          <w:rFonts w:hint="eastAsia"/>
        </w:rPr>
        <w:t xml:space="preserve">Tuberculosis (TB) remains a major global public health concern despite advances </w:t>
      </w:r>
    </w:p>
    <w:p w14:paraId="71497BFC">
      <w:pPr>
        <w:pStyle w:val="2"/>
        <w:rPr>
          <w:rFonts w:hint="eastAsia"/>
        </w:rPr>
      </w:pPr>
      <w:r>
        <w:rPr>
          <w:rFonts w:hint="eastAsia"/>
        </w:rPr>
        <w:t xml:space="preserve">in diagnosis and treatment. Early and accurate diagnosis is essential for timely </w:t>
      </w:r>
    </w:p>
    <w:p w14:paraId="177A96B1">
      <w:pPr>
        <w:pStyle w:val="2"/>
        <w:rPr>
          <w:rFonts w:hint="eastAsia"/>
        </w:rPr>
      </w:pPr>
      <w:r>
        <w:rPr>
          <w:rFonts w:hint="eastAsia"/>
        </w:rPr>
        <w:t xml:space="preserve">treatment initiation, interruption of transmission, and effective management of </w:t>
      </w:r>
    </w:p>
    <w:p w14:paraId="08E930E1">
      <w:pPr>
        <w:pStyle w:val="2"/>
        <w:rPr>
          <w:rFonts w:hint="eastAsia"/>
        </w:rPr>
      </w:pPr>
      <w:r>
        <w:rPr>
          <w:rFonts w:hint="eastAsia"/>
        </w:rPr>
        <w:t xml:space="preserve">drug-resistant TB.Although microscopy and culture remain the cornerstones of TB </w:t>
      </w:r>
    </w:p>
    <w:p w14:paraId="0EDD974D">
      <w:pPr>
        <w:pStyle w:val="2"/>
        <w:rPr>
          <w:rFonts w:hint="eastAsia"/>
        </w:rPr>
      </w:pPr>
      <w:r>
        <w:rPr>
          <w:rFonts w:hint="eastAsia"/>
        </w:rPr>
        <w:t xml:space="preserve">diagnosis, their limited sensitivity and long turnaround times have driven the </w:t>
      </w:r>
    </w:p>
    <w:p w14:paraId="67C6134F">
      <w:pPr>
        <w:pStyle w:val="2"/>
        <w:rPr>
          <w:rFonts w:hint="eastAsia"/>
        </w:rPr>
      </w:pPr>
      <w:r>
        <w:rPr>
          <w:rFonts w:hint="eastAsia"/>
        </w:rPr>
        <w:t xml:space="preserve">integration of molecular and immunological methods.This review summarizes </w:t>
      </w:r>
    </w:p>
    <w:p w14:paraId="528CB34A">
      <w:pPr>
        <w:pStyle w:val="2"/>
        <w:rPr>
          <w:rFonts w:hint="eastAsia"/>
        </w:rPr>
      </w:pPr>
      <w:r>
        <w:rPr>
          <w:rFonts w:hint="eastAsia"/>
        </w:rPr>
        <w:t xml:space="preserve">current TB diagnostic approaches, including conventional methods, nucleic acid </w:t>
      </w:r>
    </w:p>
    <w:p w14:paraId="755781A6">
      <w:pPr>
        <w:pStyle w:val="2"/>
        <w:rPr>
          <w:rFonts w:hint="eastAsia"/>
        </w:rPr>
      </w:pPr>
      <w:r>
        <w:rPr>
          <w:rFonts w:hint="eastAsia"/>
        </w:rPr>
        <w:t xml:space="preserve">amplification tests (NAATs), line probe assay (LPA), next-generation sequencing </w:t>
      </w:r>
    </w:p>
    <w:p w14:paraId="712A53A1">
      <w:pPr>
        <w:pStyle w:val="2"/>
        <w:rPr>
          <w:rFonts w:hint="eastAsia"/>
        </w:rPr>
      </w:pPr>
      <w:r>
        <w:rPr>
          <w:rFonts w:hint="eastAsia"/>
        </w:rPr>
        <w:t xml:space="preserve">(NGS), point-of-care systems, and interferon-gamma release assays </w:t>
      </w:r>
    </w:p>
    <w:p w14:paraId="7816E2FB">
      <w:pPr>
        <w:pStyle w:val="2"/>
        <w:rPr>
          <w:rFonts w:hint="eastAsia"/>
        </w:rPr>
      </w:pPr>
      <w:r>
        <w:rPr>
          <w:rFonts w:hint="eastAsia"/>
        </w:rPr>
        <w:t xml:space="preserve">(IGRAs).Emerging technologies, including host-response biomarkers, multi-omics </w:t>
      </w:r>
    </w:p>
    <w:p w14:paraId="7AA3175A">
      <w:pPr>
        <w:pStyle w:val="2"/>
        <w:rPr>
          <w:rFonts w:hint="eastAsia"/>
        </w:rPr>
      </w:pPr>
      <w:r>
        <w:rPr>
          <w:rFonts w:hint="eastAsia"/>
        </w:rPr>
        <w:t xml:space="preserve">approaches, artificial intelligence-based imaging, nanotechnology-based systems, </w:t>
      </w:r>
    </w:p>
    <w:p w14:paraId="0C6C3DFE">
      <w:pPr>
        <w:pStyle w:val="2"/>
        <w:rPr>
          <w:rFonts w:hint="eastAsia"/>
        </w:rPr>
      </w:pPr>
      <w:r>
        <w:rPr>
          <w:rFonts w:hint="eastAsia"/>
        </w:rPr>
        <w:t xml:space="preserve">and CRISPR/Cas-based diagnostics, are also discussed, with emphasis on their </w:t>
      </w:r>
    </w:p>
    <w:p w14:paraId="790E78FF">
      <w:pPr>
        <w:pStyle w:val="2"/>
        <w:rPr>
          <w:rFonts w:hint="eastAsia"/>
        </w:rPr>
      </w:pPr>
      <w:r>
        <w:rPr>
          <w:rFonts w:hint="eastAsia"/>
        </w:rPr>
        <w:t xml:space="preserve">diagnostic performance, clinical applications, and current limitations.Current </w:t>
      </w:r>
    </w:p>
    <w:p w14:paraId="742C5B31">
      <w:pPr>
        <w:pStyle w:val="2"/>
        <w:rPr>
          <w:rFonts w:hint="eastAsia"/>
        </w:rPr>
      </w:pPr>
      <w:r>
        <w:rPr>
          <w:rFonts w:hint="eastAsia"/>
        </w:rPr>
        <w:t xml:space="preserve">evidence indicates a shift from pathogen detection alone toward integrated </w:t>
      </w:r>
    </w:p>
    <w:p w14:paraId="06F589A4">
      <w:pPr>
        <w:pStyle w:val="2"/>
        <w:rPr>
          <w:rFonts w:hint="eastAsia"/>
        </w:rPr>
      </w:pPr>
      <w:r>
        <w:rPr>
          <w:rFonts w:hint="eastAsia"/>
        </w:rPr>
        <w:t xml:space="preserve">approaches incorporating rapid molecular diagnosis, drug-resistance detection, </w:t>
      </w:r>
    </w:p>
    <w:p w14:paraId="05DCA4CA">
      <w:pPr>
        <w:pStyle w:val="2"/>
        <w:rPr>
          <w:rFonts w:hint="eastAsia"/>
        </w:rPr>
      </w:pPr>
      <w:r>
        <w:rPr>
          <w:rFonts w:hint="eastAsia"/>
        </w:rPr>
        <w:t xml:space="preserve">host-response profiling, and immunological assessment.Future TB diagnostics are </w:t>
      </w:r>
    </w:p>
    <w:p w14:paraId="1649EFBB">
      <w:pPr>
        <w:pStyle w:val="2"/>
        <w:rPr>
          <w:rFonts w:hint="eastAsia"/>
        </w:rPr>
      </w:pPr>
      <w:r>
        <w:rPr>
          <w:rFonts w:hint="eastAsia"/>
        </w:rPr>
        <w:t xml:space="preserve">likely to increasingly rely on multimodal platforms combining molecular tools, </w:t>
      </w:r>
    </w:p>
    <w:p w14:paraId="5833B37E">
      <w:pPr>
        <w:pStyle w:val="2"/>
        <w:rPr>
          <w:rFonts w:hint="eastAsia"/>
        </w:rPr>
      </w:pPr>
      <w:r>
        <w:rPr>
          <w:rFonts w:hint="eastAsia"/>
        </w:rPr>
        <w:t xml:space="preserve">host-response biomarkers, multi-omics data, and artificial intelligence to </w:t>
      </w:r>
    </w:p>
    <w:p w14:paraId="417F77B5">
      <w:pPr>
        <w:pStyle w:val="2"/>
        <w:rPr>
          <w:rFonts w:hint="eastAsia"/>
        </w:rPr>
      </w:pPr>
      <w:r>
        <w:rPr>
          <w:rFonts w:hint="eastAsia"/>
        </w:rPr>
        <w:t>support more precise and clinically actionable TB management.</w:t>
      </w:r>
    </w:p>
    <w:p w14:paraId="62139FD0">
      <w:pPr>
        <w:pStyle w:val="2"/>
        <w:rPr>
          <w:rFonts w:hint="eastAsia"/>
        </w:rPr>
      </w:pPr>
    </w:p>
    <w:p w14:paraId="1D5707C5">
      <w:pPr>
        <w:pStyle w:val="2"/>
        <w:rPr>
          <w:rFonts w:hint="eastAsia"/>
        </w:rPr>
      </w:pPr>
      <w:r>
        <w:rPr>
          <w:rFonts w:hint="eastAsia"/>
        </w:rPr>
        <w:t xml:space="preserve">© 2026. The Author(s), under exclusive licence to Springer-Verlag GmbH Germany, </w:t>
      </w:r>
    </w:p>
    <w:p w14:paraId="692E87BE">
      <w:pPr>
        <w:pStyle w:val="2"/>
        <w:rPr>
          <w:rFonts w:hint="eastAsia"/>
        </w:rPr>
      </w:pPr>
      <w:r>
        <w:rPr>
          <w:rFonts w:hint="eastAsia"/>
        </w:rPr>
        <w:t>part of Springer Nature.</w:t>
      </w:r>
    </w:p>
    <w:p w14:paraId="4D233C86">
      <w:pPr>
        <w:pStyle w:val="2"/>
        <w:rPr>
          <w:rFonts w:hint="eastAsia"/>
        </w:rPr>
      </w:pPr>
    </w:p>
    <w:p w14:paraId="33349C60">
      <w:pPr>
        <w:pStyle w:val="2"/>
        <w:rPr>
          <w:rFonts w:hint="eastAsia"/>
        </w:rPr>
      </w:pPr>
      <w:r>
        <w:rPr>
          <w:rFonts w:hint="eastAsia"/>
        </w:rPr>
        <w:t>DOI: 10.1007/s10096-026-05688-x</w:t>
      </w:r>
    </w:p>
    <w:p w14:paraId="577D47F4">
      <w:pPr>
        <w:pStyle w:val="2"/>
        <w:rPr>
          <w:rFonts w:hint="eastAsia"/>
        </w:rPr>
      </w:pPr>
      <w:r>
        <w:rPr>
          <w:rFonts w:hint="eastAsia"/>
        </w:rPr>
        <w:t>PMID: 42836916</w:t>
      </w:r>
    </w:p>
    <w:p w14:paraId="526C52E4">
      <w:pPr>
        <w:pStyle w:val="2"/>
        <w:rPr>
          <w:rFonts w:hint="eastAsia"/>
        </w:rPr>
      </w:pPr>
    </w:p>
    <w:p w14:paraId="5E549EC4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48</w:t>
      </w:r>
      <w:r>
        <w:rPr>
          <w:rFonts w:hint="eastAsia"/>
          <w:b/>
          <w:bCs/>
          <w:color w:val="FF0000"/>
        </w:rPr>
        <w:t>. Ocul Immunol Inflamm. 2026 Oct 6:1-7. doi: 10.1080/09273948.2026.2739467. Online ahead of print.</w:t>
      </w:r>
    </w:p>
    <w:p w14:paraId="3405983C">
      <w:pPr>
        <w:pStyle w:val="2"/>
        <w:rPr>
          <w:rFonts w:hint="eastAsia"/>
        </w:rPr>
      </w:pPr>
    </w:p>
    <w:p w14:paraId="0A2EDE94">
      <w:pPr>
        <w:pStyle w:val="2"/>
        <w:rPr>
          <w:rFonts w:hint="eastAsia"/>
        </w:rPr>
      </w:pPr>
      <w:r>
        <w:rPr>
          <w:rFonts w:hint="eastAsia"/>
        </w:rPr>
        <w:t xml:space="preserve">Choroidal Tuberculosis in Miliary Disease: A Multimodal Imaging Spectrum Across </w:t>
      </w:r>
    </w:p>
    <w:p w14:paraId="27A81DE8">
      <w:pPr>
        <w:pStyle w:val="2"/>
        <w:rPr>
          <w:rFonts w:hint="eastAsia"/>
        </w:rPr>
      </w:pPr>
      <w:r>
        <w:rPr>
          <w:rFonts w:hint="eastAsia"/>
        </w:rPr>
        <w:t>Iatrogenic and Disease-Mediated Immunosuppression.</w:t>
      </w:r>
    </w:p>
    <w:p w14:paraId="1EC38136">
      <w:pPr>
        <w:pStyle w:val="2"/>
        <w:rPr>
          <w:rFonts w:hint="eastAsia"/>
        </w:rPr>
      </w:pPr>
    </w:p>
    <w:p w14:paraId="1127B40B">
      <w:pPr>
        <w:pStyle w:val="2"/>
        <w:rPr>
          <w:rFonts w:hint="eastAsia"/>
        </w:rPr>
      </w:pPr>
      <w:r>
        <w:rPr>
          <w:rFonts w:hint="eastAsia"/>
        </w:rPr>
        <w:t>Patel A(1), Testi I(1), Tucker W(1), Pavesio C(1).</w:t>
      </w:r>
    </w:p>
    <w:p w14:paraId="44681EA8">
      <w:pPr>
        <w:pStyle w:val="2"/>
        <w:rPr>
          <w:rFonts w:hint="eastAsia"/>
        </w:rPr>
      </w:pPr>
    </w:p>
    <w:p w14:paraId="2C439477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1F614D60">
      <w:pPr>
        <w:pStyle w:val="2"/>
        <w:rPr>
          <w:rFonts w:hint="eastAsia"/>
        </w:rPr>
      </w:pPr>
      <w:r>
        <w:rPr>
          <w:rFonts w:hint="eastAsia"/>
        </w:rPr>
        <w:t>(1)Uveitis Department, Moorfields Eye Hospital, London, UK.</w:t>
      </w:r>
    </w:p>
    <w:p w14:paraId="08EF08D1">
      <w:pPr>
        <w:pStyle w:val="2"/>
        <w:rPr>
          <w:rFonts w:hint="eastAsia"/>
        </w:rPr>
      </w:pPr>
    </w:p>
    <w:p w14:paraId="52494861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PURPOSE: </w:t>
      </w:r>
      <w:r>
        <w:rPr>
          <w:rFonts w:hint="eastAsia"/>
        </w:rPr>
        <w:t xml:space="preserve">To describe the multimodal imaging findings of choroidal tuberculosis </w:t>
      </w:r>
    </w:p>
    <w:p w14:paraId="7298945A">
      <w:pPr>
        <w:pStyle w:val="2"/>
        <w:rPr>
          <w:rFonts w:hint="eastAsia"/>
        </w:rPr>
      </w:pPr>
      <w:r>
        <w:rPr>
          <w:rFonts w:hint="eastAsia"/>
        </w:rPr>
        <w:t xml:space="preserve">in two cases of miliary tuberculosis occurring in the setting of distinct forms </w:t>
      </w:r>
    </w:p>
    <w:p w14:paraId="58F065B8">
      <w:pPr>
        <w:pStyle w:val="2"/>
        <w:rPr>
          <w:rFonts w:hint="eastAsia"/>
        </w:rPr>
      </w:pPr>
      <w:r>
        <w:rPr>
          <w:rFonts w:hint="eastAsia"/>
        </w:rPr>
        <w:t>of immunosuppression.</w:t>
      </w:r>
    </w:p>
    <w:p w14:paraId="08ACF7ED">
      <w:pPr>
        <w:pStyle w:val="2"/>
        <w:rPr>
          <w:rFonts w:hint="eastAsia"/>
        </w:rPr>
      </w:pPr>
      <w:r>
        <w:rPr>
          <w:rFonts w:hint="eastAsia"/>
          <w:b/>
          <w:bCs/>
        </w:rPr>
        <w:t>METHOD:</w:t>
      </w:r>
      <w:r>
        <w:rPr>
          <w:rFonts w:hint="eastAsia"/>
        </w:rPr>
        <w:t xml:space="preserve"> Retrospective analysis of four eyes with miliary choroidal tuberculosis.</w:t>
      </w:r>
    </w:p>
    <w:p w14:paraId="0B14F455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Case 1 was a young male with newly diagnosed HIV infection and a CD4 </w:t>
      </w:r>
    </w:p>
    <w:p w14:paraId="6D2F67D9">
      <w:pPr>
        <w:pStyle w:val="2"/>
        <w:rPr>
          <w:rFonts w:hint="eastAsia"/>
        </w:rPr>
      </w:pPr>
      <w:r>
        <w:rPr>
          <w:rFonts w:hint="eastAsia"/>
        </w:rPr>
        <w:t xml:space="preserve">count of 23 cells/μL presenting with bilateral multifocal choroidal lesions at </w:t>
      </w:r>
    </w:p>
    <w:p w14:paraId="2B8E0769">
      <w:pPr>
        <w:pStyle w:val="2"/>
        <w:rPr>
          <w:rFonts w:hint="eastAsia"/>
        </w:rPr>
      </w:pPr>
      <w:r>
        <w:rPr>
          <w:rFonts w:hint="eastAsia"/>
        </w:rPr>
        <w:t xml:space="preserve">first ophthalmic evaluation. Case 2 was a 41-year-old male with psoriatic </w:t>
      </w:r>
    </w:p>
    <w:p w14:paraId="1887039D">
      <w:pPr>
        <w:pStyle w:val="2"/>
        <w:rPr>
          <w:rFonts w:hint="eastAsia"/>
        </w:rPr>
      </w:pPr>
      <w:r>
        <w:rPr>
          <w:rFonts w:hint="eastAsia"/>
        </w:rPr>
        <w:t xml:space="preserve">arthritis on long-term methotrexate and adalimumab, with prior treated latent </w:t>
      </w:r>
    </w:p>
    <w:p w14:paraId="658FE13F">
      <w:pPr>
        <w:pStyle w:val="2"/>
        <w:rPr>
          <w:rFonts w:hint="eastAsia"/>
        </w:rPr>
      </w:pPr>
      <w:r>
        <w:rPr>
          <w:rFonts w:hint="eastAsia"/>
        </w:rPr>
        <w:t xml:space="preserve">tuberculosis, who presented with a unilateral unifocal choroidal granuloma </w:t>
      </w:r>
    </w:p>
    <w:p w14:paraId="527BC109">
      <w:pPr>
        <w:pStyle w:val="2"/>
        <w:rPr>
          <w:rFonts w:hint="eastAsia"/>
        </w:rPr>
      </w:pPr>
      <w:r>
        <w:rPr>
          <w:rFonts w:hint="eastAsia"/>
        </w:rPr>
        <w:t xml:space="preserve">subsequently progressing to bilateral multifocal choroiditis following miliary </w:t>
      </w:r>
    </w:p>
    <w:p w14:paraId="255ED338">
      <w:pPr>
        <w:pStyle w:val="2"/>
        <w:rPr>
          <w:rFonts w:hint="eastAsia"/>
        </w:rPr>
      </w:pPr>
      <w:r>
        <w:rPr>
          <w:rFonts w:hint="eastAsia"/>
        </w:rPr>
        <w:t xml:space="preserve">dissemination. In both cases, ocular involvement was exclusively choroidal with </w:t>
      </w:r>
    </w:p>
    <w:p w14:paraId="3873BDF5">
      <w:pPr>
        <w:pStyle w:val="2"/>
        <w:rPr>
          <w:rFonts w:hint="eastAsia"/>
        </w:rPr>
      </w:pPr>
      <w:r>
        <w:rPr>
          <w:rFonts w:hint="eastAsia"/>
        </w:rPr>
        <w:t xml:space="preserve">no anterior chamber inflammation, vitritis, retinal vasculitis, capillaritis, or </w:t>
      </w:r>
    </w:p>
    <w:p w14:paraId="54E633BB">
      <w:pPr>
        <w:pStyle w:val="2"/>
        <w:rPr>
          <w:rFonts w:hint="eastAsia"/>
        </w:rPr>
      </w:pPr>
      <w:r>
        <w:rPr>
          <w:rFonts w:hint="eastAsia"/>
        </w:rPr>
        <w:t xml:space="preserve">disc leakage in any eye. Indocyanine green angiography (ICGA) demonstrated the </w:t>
      </w:r>
    </w:p>
    <w:p w14:paraId="1EC8D10C">
      <w:pPr>
        <w:pStyle w:val="2"/>
        <w:rPr>
          <w:rFonts w:hint="eastAsia"/>
        </w:rPr>
      </w:pPr>
      <w:r>
        <w:rPr>
          <w:rFonts w:hint="eastAsia"/>
        </w:rPr>
        <w:t xml:space="preserve">greatest lesion burden, identifying hypofluorescent foci not apparent on fundus </w:t>
      </w:r>
    </w:p>
    <w:p w14:paraId="75052D5A">
      <w:pPr>
        <w:pStyle w:val="2"/>
        <w:rPr>
          <w:rFonts w:hint="eastAsia"/>
        </w:rPr>
      </w:pPr>
      <w:r>
        <w:rPr>
          <w:rFonts w:hint="eastAsia"/>
        </w:rPr>
        <w:t xml:space="preserve">fluorescein angiography or autofluorescence. Optical coherence tomography </w:t>
      </w:r>
    </w:p>
    <w:p w14:paraId="54549090">
      <w:pPr>
        <w:pStyle w:val="2"/>
        <w:rPr>
          <w:rFonts w:hint="eastAsia"/>
        </w:rPr>
      </w:pPr>
      <w:r>
        <w:rPr>
          <w:rFonts w:hint="eastAsia"/>
        </w:rPr>
        <w:t xml:space="preserve">revealed a spectrum from subtle stromal lesions with minimal ellipsoid zone </w:t>
      </w:r>
    </w:p>
    <w:p w14:paraId="6425614F">
      <w:pPr>
        <w:pStyle w:val="2"/>
        <w:rPr>
          <w:rFonts w:hint="eastAsia"/>
        </w:rPr>
      </w:pPr>
      <w:r>
        <w:rPr>
          <w:rFonts w:hint="eastAsia"/>
        </w:rPr>
        <w:t xml:space="preserve">changes to large granulomas with subretinal fluid and choriocapillaris </w:t>
      </w:r>
    </w:p>
    <w:p w14:paraId="5DE2972A">
      <w:pPr>
        <w:pStyle w:val="2"/>
        <w:rPr>
          <w:rFonts w:hint="eastAsia"/>
        </w:rPr>
      </w:pPr>
      <w:r>
        <w:rPr>
          <w:rFonts w:hint="eastAsia"/>
        </w:rPr>
        <w:t xml:space="preserve">compression. Both cases responded to anti-tubercular therapy; adjunctive </w:t>
      </w:r>
    </w:p>
    <w:p w14:paraId="0B3D2252">
      <w:pPr>
        <w:pStyle w:val="2"/>
        <w:rPr>
          <w:rFonts w:hint="eastAsia"/>
        </w:rPr>
      </w:pPr>
      <w:r>
        <w:rPr>
          <w:rFonts w:hint="eastAsia"/>
        </w:rPr>
        <w:t xml:space="preserve">intravitreal bevacizumab facilitated resolution of subfoveal subretinal fluid in </w:t>
      </w:r>
    </w:p>
    <w:p w14:paraId="73FAD0BB">
      <w:pPr>
        <w:pStyle w:val="2"/>
        <w:rPr>
          <w:rFonts w:hint="eastAsia"/>
        </w:rPr>
      </w:pPr>
      <w:r>
        <w:rPr>
          <w:rFonts w:hint="eastAsia"/>
        </w:rPr>
        <w:t>Case 2.</w:t>
      </w:r>
    </w:p>
    <w:p w14:paraId="6CFAFD0C">
      <w:pPr>
        <w:pStyle w:val="2"/>
        <w:rPr>
          <w:rFonts w:hint="eastAsia"/>
        </w:rPr>
      </w:pPr>
      <w:r>
        <w:rPr>
          <w:rFonts w:hint="eastAsia"/>
          <w:b/>
          <w:bCs/>
        </w:rPr>
        <w:t>CONCLUSIONS:</w:t>
      </w:r>
      <w:r>
        <w:rPr>
          <w:rFonts w:hint="eastAsia"/>
        </w:rPr>
        <w:t xml:space="preserve"> Findings from these two cases support the possibility of choroidal </w:t>
      </w:r>
    </w:p>
    <w:p w14:paraId="5018EE1F">
      <w:pPr>
        <w:pStyle w:val="2"/>
        <w:rPr>
          <w:rFonts w:hint="eastAsia"/>
        </w:rPr>
      </w:pPr>
      <w:r>
        <w:rPr>
          <w:rFonts w:hint="eastAsia"/>
        </w:rPr>
        <w:t xml:space="preserve">involvement in miliary tuberculosis despite absent accompanying intraocular </w:t>
      </w:r>
    </w:p>
    <w:p w14:paraId="777F02F5">
      <w:pPr>
        <w:pStyle w:val="2"/>
        <w:rPr>
          <w:rFonts w:hint="eastAsia"/>
        </w:rPr>
      </w:pPr>
      <w:r>
        <w:rPr>
          <w:rFonts w:hint="eastAsia"/>
        </w:rPr>
        <w:t xml:space="preserve">inflammation. ICGA may improve lesion detection and characterization of lesion </w:t>
      </w:r>
    </w:p>
    <w:p w14:paraId="16A939AD">
      <w:pPr>
        <w:pStyle w:val="2"/>
        <w:rPr>
          <w:rFonts w:hint="eastAsia"/>
        </w:rPr>
      </w:pPr>
      <w:r>
        <w:rPr>
          <w:rFonts w:hint="eastAsia"/>
        </w:rPr>
        <w:t xml:space="preserve">burden in immunocompromised patients with otherwise unexplained choroidal </w:t>
      </w:r>
    </w:p>
    <w:p w14:paraId="73274D49">
      <w:pPr>
        <w:pStyle w:val="2"/>
        <w:rPr>
          <w:rFonts w:hint="eastAsia"/>
        </w:rPr>
      </w:pPr>
      <w:r>
        <w:rPr>
          <w:rFonts w:hint="eastAsia"/>
        </w:rPr>
        <w:t xml:space="preserve">lesions. These observations also support excluding tuberculosis before </w:t>
      </w:r>
    </w:p>
    <w:p w14:paraId="25C92CD8">
      <w:pPr>
        <w:pStyle w:val="2"/>
        <w:rPr>
          <w:rFonts w:hint="eastAsia"/>
        </w:rPr>
      </w:pPr>
      <w:r>
        <w:rPr>
          <w:rFonts w:hint="eastAsia"/>
        </w:rPr>
        <w:t xml:space="preserve">initiating empiric corticosteroid therapy, given the potential risk of </w:t>
      </w:r>
    </w:p>
    <w:p w14:paraId="071BF3C2">
      <w:pPr>
        <w:pStyle w:val="2"/>
        <w:rPr>
          <w:rFonts w:hint="eastAsia"/>
        </w:rPr>
      </w:pPr>
      <w:r>
        <w:rPr>
          <w:rFonts w:hint="eastAsia"/>
        </w:rPr>
        <w:t>precipitating systemic dissemination.</w:t>
      </w:r>
    </w:p>
    <w:p w14:paraId="082193E5">
      <w:pPr>
        <w:pStyle w:val="2"/>
        <w:rPr>
          <w:rFonts w:hint="eastAsia"/>
        </w:rPr>
      </w:pPr>
    </w:p>
    <w:p w14:paraId="4EE00BB4">
      <w:pPr>
        <w:pStyle w:val="2"/>
        <w:rPr>
          <w:rFonts w:hint="eastAsia"/>
        </w:rPr>
      </w:pPr>
      <w:r>
        <w:rPr>
          <w:rFonts w:hint="eastAsia"/>
        </w:rPr>
        <w:t>DOI: 10.1080/09273948.2026.2739467</w:t>
      </w:r>
    </w:p>
    <w:p w14:paraId="0DB3F9A4">
      <w:pPr>
        <w:pStyle w:val="2"/>
        <w:rPr>
          <w:rFonts w:hint="eastAsia"/>
        </w:rPr>
      </w:pPr>
      <w:r>
        <w:rPr>
          <w:rFonts w:hint="eastAsia"/>
        </w:rPr>
        <w:t>PMID: 42836872</w:t>
      </w:r>
    </w:p>
    <w:p w14:paraId="5332A686">
      <w:pPr>
        <w:pStyle w:val="2"/>
        <w:rPr>
          <w:rFonts w:hint="eastAsia"/>
        </w:rPr>
      </w:pPr>
    </w:p>
    <w:p w14:paraId="2662F981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49</w:t>
      </w:r>
      <w:r>
        <w:rPr>
          <w:rFonts w:hint="eastAsia"/>
          <w:b/>
          <w:bCs/>
          <w:color w:val="FF0000"/>
        </w:rPr>
        <w:t xml:space="preserve">. J Bacteriol. 2026 Oct 6:e0036126. doi: 10.1128/jb.00361-26. Online ahead of </w:t>
      </w:r>
    </w:p>
    <w:p w14:paraId="7FDC330F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print.</w:t>
      </w:r>
    </w:p>
    <w:p w14:paraId="715C9903">
      <w:pPr>
        <w:pStyle w:val="2"/>
        <w:rPr>
          <w:rFonts w:hint="eastAsia"/>
        </w:rPr>
      </w:pPr>
    </w:p>
    <w:p w14:paraId="4B7340DE">
      <w:pPr>
        <w:pStyle w:val="2"/>
        <w:rPr>
          <w:rFonts w:hint="eastAsia"/>
        </w:rPr>
      </w:pPr>
      <w:r>
        <w:rPr>
          <w:rFonts w:hint="eastAsia"/>
        </w:rPr>
        <w:t xml:space="preserve">Activation of the MprBA two-component system in Mycobacterium smegmatis under </w:t>
      </w:r>
    </w:p>
    <w:p w14:paraId="2CDD9E86">
      <w:pPr>
        <w:pStyle w:val="2"/>
        <w:rPr>
          <w:rFonts w:hint="eastAsia"/>
        </w:rPr>
      </w:pPr>
      <w:r>
        <w:rPr>
          <w:rFonts w:hint="eastAsia"/>
        </w:rPr>
        <w:t xml:space="preserve">acidic and respiration-inhibitory conditions and crosstalk between MprA and </w:t>
      </w:r>
    </w:p>
    <w:p w14:paraId="6E1C7AD9">
      <w:pPr>
        <w:pStyle w:val="2"/>
        <w:rPr>
          <w:rFonts w:hint="eastAsia"/>
        </w:rPr>
      </w:pPr>
      <w:r>
        <w:rPr>
          <w:rFonts w:hint="eastAsia"/>
        </w:rPr>
        <w:t>KdpD.</w:t>
      </w:r>
    </w:p>
    <w:p w14:paraId="3AE3555A">
      <w:pPr>
        <w:pStyle w:val="2"/>
        <w:rPr>
          <w:rFonts w:hint="eastAsia"/>
        </w:rPr>
      </w:pPr>
    </w:p>
    <w:p w14:paraId="4172D3EA">
      <w:pPr>
        <w:pStyle w:val="2"/>
        <w:rPr>
          <w:rFonts w:hint="eastAsia"/>
        </w:rPr>
      </w:pPr>
      <w:r>
        <w:rPr>
          <w:rFonts w:hint="eastAsia"/>
        </w:rPr>
        <w:t>Kim Y-K(1), Lee Y-J(1), Oh J-I(1)(2).</w:t>
      </w:r>
    </w:p>
    <w:p w14:paraId="178F2843">
      <w:pPr>
        <w:pStyle w:val="2"/>
        <w:rPr>
          <w:rFonts w:hint="eastAsia"/>
        </w:rPr>
      </w:pPr>
    </w:p>
    <w:p w14:paraId="2882B3B4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6875F4D0">
      <w:pPr>
        <w:pStyle w:val="2"/>
        <w:rPr>
          <w:rFonts w:hint="eastAsia"/>
        </w:rPr>
      </w:pPr>
      <w:r>
        <w:rPr>
          <w:rFonts w:hint="eastAsia"/>
        </w:rPr>
        <w:t xml:space="preserve">(1)Department of Integrated Biological Science, Pusan National University, </w:t>
      </w:r>
    </w:p>
    <w:p w14:paraId="516592CC">
      <w:pPr>
        <w:pStyle w:val="2"/>
        <w:rPr>
          <w:rFonts w:hint="eastAsia"/>
        </w:rPr>
      </w:pPr>
      <w:r>
        <w:rPr>
          <w:rFonts w:hint="eastAsia"/>
        </w:rPr>
        <w:t>Busan, South Korea.</w:t>
      </w:r>
    </w:p>
    <w:p w14:paraId="595F94C0">
      <w:pPr>
        <w:pStyle w:val="2"/>
        <w:rPr>
          <w:rFonts w:hint="eastAsia"/>
        </w:rPr>
      </w:pPr>
      <w:r>
        <w:rPr>
          <w:rFonts w:hint="eastAsia"/>
        </w:rPr>
        <w:t xml:space="preserve">(2)Microbiological Resource Research Institute, Pusan National University, </w:t>
      </w:r>
    </w:p>
    <w:p w14:paraId="3DE2A1F4">
      <w:pPr>
        <w:pStyle w:val="2"/>
        <w:rPr>
          <w:rFonts w:hint="eastAsia"/>
        </w:rPr>
      </w:pPr>
      <w:r>
        <w:rPr>
          <w:rFonts w:hint="eastAsia"/>
        </w:rPr>
        <w:t>Busan, South Korea.</w:t>
      </w:r>
    </w:p>
    <w:p w14:paraId="6DC808B2">
      <w:pPr>
        <w:pStyle w:val="2"/>
        <w:rPr>
          <w:rFonts w:hint="eastAsia"/>
        </w:rPr>
      </w:pPr>
    </w:p>
    <w:p w14:paraId="6669CE27">
      <w:pPr>
        <w:pStyle w:val="2"/>
        <w:rPr>
          <w:rFonts w:hint="eastAsia"/>
        </w:rPr>
      </w:pPr>
      <w:r>
        <w:rPr>
          <w:rFonts w:hint="eastAsia"/>
        </w:rPr>
        <w:t xml:space="preserve">The MprBA two-component system (TCS) plays a critical role in Mycobacterium </w:t>
      </w:r>
    </w:p>
    <w:p w14:paraId="72F48E01">
      <w:pPr>
        <w:pStyle w:val="2"/>
        <w:rPr>
          <w:rFonts w:hint="eastAsia"/>
        </w:rPr>
      </w:pPr>
      <w:r>
        <w:rPr>
          <w:rFonts w:hint="eastAsia"/>
        </w:rPr>
        <w:t xml:space="preserve">tuberculosis persistence and forms a signaling pathway with the alternative </w:t>
      </w:r>
    </w:p>
    <w:p w14:paraId="6FC6020D">
      <w:pPr>
        <w:pStyle w:val="2"/>
        <w:rPr>
          <w:rFonts w:hint="eastAsia"/>
        </w:rPr>
      </w:pPr>
      <w:r>
        <w:rPr>
          <w:rFonts w:hint="eastAsia"/>
        </w:rPr>
        <w:t xml:space="preserve">sigma factors SigE and SigB. Here, we demonstrate that the MprBA-SigE-SigB </w:t>
      </w:r>
    </w:p>
    <w:p w14:paraId="74CA8F5C">
      <w:pPr>
        <w:pStyle w:val="2"/>
        <w:rPr>
          <w:rFonts w:hint="eastAsia"/>
        </w:rPr>
      </w:pPr>
      <w:r>
        <w:rPr>
          <w:rFonts w:hint="eastAsia"/>
        </w:rPr>
        <w:t xml:space="preserve">signaling pathway is activated in Mycobacterium smegmatis under multiple stress </w:t>
      </w:r>
    </w:p>
    <w:p w14:paraId="125DA86D">
      <w:pPr>
        <w:pStyle w:val="2"/>
        <w:rPr>
          <w:rFonts w:hint="eastAsia"/>
        </w:rPr>
      </w:pPr>
      <w:r>
        <w:rPr>
          <w:rFonts w:hint="eastAsia"/>
        </w:rPr>
        <w:t xml:space="preserve">conditions associated with respiratory inhibition, including genetic </w:t>
      </w:r>
    </w:p>
    <w:p w14:paraId="16119B7D">
      <w:pPr>
        <w:pStyle w:val="2"/>
        <w:rPr>
          <w:rFonts w:hint="eastAsia"/>
        </w:rPr>
      </w:pPr>
      <w:r>
        <w:rPr>
          <w:rFonts w:hint="eastAsia"/>
        </w:rPr>
        <w:t xml:space="preserve">inactivation of the aa3 cytochrome c oxidase, treatment with the bcc1 complex </w:t>
      </w:r>
    </w:p>
    <w:p w14:paraId="107F0F25">
      <w:pPr>
        <w:pStyle w:val="2"/>
        <w:rPr>
          <w:rFonts w:hint="eastAsia"/>
        </w:rPr>
      </w:pPr>
      <w:r>
        <w:rPr>
          <w:rFonts w:hint="eastAsia"/>
        </w:rPr>
        <w:t xml:space="preserve">inhibitor Q203, hypoxia, high ionic strength, and acidic pH. Strikingly, acidic </w:t>
      </w:r>
    </w:p>
    <w:p w14:paraId="50620A84">
      <w:pPr>
        <w:pStyle w:val="2"/>
        <w:rPr>
          <w:rFonts w:hint="eastAsia"/>
        </w:rPr>
      </w:pPr>
      <w:r>
        <w:rPr>
          <w:rFonts w:hint="eastAsia"/>
        </w:rPr>
        <w:t xml:space="preserve">pH elicited the strongest activation of MprA-dependent sigE expression, </w:t>
      </w:r>
    </w:p>
    <w:p w14:paraId="2F2A6DD3">
      <w:pPr>
        <w:pStyle w:val="2"/>
        <w:rPr>
          <w:rFonts w:hint="eastAsia"/>
        </w:rPr>
      </w:pPr>
      <w:r>
        <w:rPr>
          <w:rFonts w:hint="eastAsia"/>
        </w:rPr>
        <w:t xml:space="preserve">suggesting that MprB integrates multiple stress signals beyond respiratory </w:t>
      </w:r>
    </w:p>
    <w:p w14:paraId="3A2E0944">
      <w:pPr>
        <w:pStyle w:val="2"/>
        <w:rPr>
          <w:rFonts w:hint="eastAsia"/>
        </w:rPr>
      </w:pPr>
      <w:r>
        <w:rPr>
          <w:rFonts w:hint="eastAsia"/>
        </w:rPr>
        <w:t xml:space="preserve">dysfunction. Deletion of mprB resulted in constitutive activation of MprA rather </w:t>
      </w:r>
    </w:p>
    <w:p w14:paraId="0C755D6F">
      <w:pPr>
        <w:pStyle w:val="2"/>
        <w:rPr>
          <w:rFonts w:hint="eastAsia"/>
        </w:rPr>
      </w:pPr>
      <w:r>
        <w:rPr>
          <w:rFonts w:hint="eastAsia"/>
        </w:rPr>
        <w:t xml:space="preserve">than inactivation, as evidenced by elevated sigE expression, increased MprA </w:t>
      </w:r>
    </w:p>
    <w:p w14:paraId="356A6812">
      <w:pPr>
        <w:pStyle w:val="2"/>
        <w:rPr>
          <w:rFonts w:hint="eastAsia"/>
        </w:rPr>
      </w:pPr>
      <w:r>
        <w:rPr>
          <w:rFonts w:hint="eastAsia"/>
        </w:rPr>
        <w:t xml:space="preserve">phosphorylation, and enhanced rifampicin resistance in an mprB mutant. Using </w:t>
      </w:r>
    </w:p>
    <w:p w14:paraId="44D9F076">
      <w:pPr>
        <w:pStyle w:val="2"/>
        <w:rPr>
          <w:rFonts w:hint="eastAsia"/>
        </w:rPr>
      </w:pPr>
      <w:r>
        <w:rPr>
          <w:rFonts w:hint="eastAsia"/>
        </w:rPr>
        <w:t xml:space="preserve">CRISPRi-mediated repression and genetic deletion, we identified the KdpD </w:t>
      </w:r>
    </w:p>
    <w:p w14:paraId="4072C1DD">
      <w:pPr>
        <w:pStyle w:val="2"/>
        <w:rPr>
          <w:rFonts w:hint="eastAsia"/>
        </w:rPr>
      </w:pPr>
      <w:r>
        <w:rPr>
          <w:rFonts w:hint="eastAsia"/>
        </w:rPr>
        <w:t xml:space="preserve">histidine kinase, a component of the potassium homeostasis KdpDE TCS, as </w:t>
      </w:r>
    </w:p>
    <w:p w14:paraId="2172AA4A">
      <w:pPr>
        <w:pStyle w:val="2"/>
        <w:rPr>
          <w:rFonts w:hint="eastAsia"/>
        </w:rPr>
      </w:pPr>
      <w:r>
        <w:rPr>
          <w:rFonts w:hint="eastAsia"/>
        </w:rPr>
        <w:t xml:space="preserve">required for phosphorylating and activating MprA in the absence of MprB. These </w:t>
      </w:r>
    </w:p>
    <w:p w14:paraId="3610B493">
      <w:pPr>
        <w:pStyle w:val="2"/>
        <w:rPr>
          <w:rFonts w:hint="eastAsia"/>
        </w:rPr>
      </w:pPr>
      <w:r>
        <w:rPr>
          <w:rFonts w:hint="eastAsia"/>
        </w:rPr>
        <w:t xml:space="preserve">findings reveal unexpected crosstalk between KdpD and MprA. Expression of a </w:t>
      </w:r>
    </w:p>
    <w:p w14:paraId="35ED521F">
      <w:pPr>
        <w:pStyle w:val="2"/>
        <w:rPr>
          <w:rFonts w:hint="eastAsia"/>
        </w:rPr>
      </w:pPr>
      <w:r>
        <w:rPr>
          <w:rFonts w:hint="eastAsia"/>
        </w:rPr>
        <w:t xml:space="preserve">truncated MprB lacking the N-terminal sensory domain abolished sigE expression </w:t>
      </w:r>
    </w:p>
    <w:p w14:paraId="7F004E9D">
      <w:pPr>
        <w:pStyle w:val="2"/>
        <w:rPr>
          <w:rFonts w:hint="eastAsia"/>
        </w:rPr>
      </w:pPr>
      <w:r>
        <w:rPr>
          <w:rFonts w:hint="eastAsia"/>
        </w:rPr>
        <w:t xml:space="preserve">under both neutral and acidic conditions, indicating that this domain is </w:t>
      </w:r>
    </w:p>
    <w:p w14:paraId="412AA1DE">
      <w:pPr>
        <w:pStyle w:val="2"/>
        <w:rPr>
          <w:rFonts w:hint="eastAsia"/>
        </w:rPr>
      </w:pPr>
      <w:r>
        <w:rPr>
          <w:rFonts w:hint="eastAsia"/>
        </w:rPr>
        <w:t xml:space="preserve">essential for sensing environmental signals and that the truncated protein </w:t>
      </w:r>
    </w:p>
    <w:p w14:paraId="47EA9AC1">
      <w:pPr>
        <w:pStyle w:val="2"/>
        <w:rPr>
          <w:rFonts w:hint="eastAsia"/>
        </w:rPr>
      </w:pPr>
      <w:r>
        <w:rPr>
          <w:rFonts w:hint="eastAsia"/>
        </w:rPr>
        <w:t xml:space="preserve">behaves as a phosphatase-dominant form under the conditions tested. Growth </w:t>
      </w:r>
    </w:p>
    <w:p w14:paraId="567C5822">
      <w:pPr>
        <w:pStyle w:val="2"/>
        <w:rPr>
          <w:rFonts w:hint="eastAsia"/>
        </w:rPr>
      </w:pPr>
      <w:r>
        <w:rPr>
          <w:rFonts w:hint="eastAsia"/>
        </w:rPr>
        <w:t xml:space="preserve">analysis revealed that MprA, SigE, and SigB are required for optimal growth </w:t>
      </w:r>
    </w:p>
    <w:p w14:paraId="5CC5E502">
      <w:pPr>
        <w:pStyle w:val="2"/>
        <w:rPr>
          <w:rFonts w:hint="eastAsia"/>
        </w:rPr>
      </w:pPr>
      <w:r>
        <w:rPr>
          <w:rFonts w:hint="eastAsia"/>
        </w:rPr>
        <w:t xml:space="preserve">under acidic conditions, demonstrating the importance of the MprBA-SigE-SigB </w:t>
      </w:r>
    </w:p>
    <w:p w14:paraId="05BB7144">
      <w:pPr>
        <w:pStyle w:val="2"/>
        <w:rPr>
          <w:rFonts w:hint="eastAsia"/>
        </w:rPr>
      </w:pPr>
      <w:r>
        <w:rPr>
          <w:rFonts w:hint="eastAsia"/>
        </w:rPr>
        <w:t xml:space="preserve">pathway for survival of M. smegmatis under acidic stress.IMPORTANCEThe MprBA TCS </w:t>
      </w:r>
    </w:p>
    <w:p w14:paraId="10F93597">
      <w:pPr>
        <w:pStyle w:val="2"/>
        <w:rPr>
          <w:rFonts w:hint="eastAsia"/>
        </w:rPr>
      </w:pPr>
      <w:r>
        <w:rPr>
          <w:rFonts w:hint="eastAsia"/>
        </w:rPr>
        <w:t xml:space="preserve">contributes to mycobacterial stress adaptation and persistence by regulating </w:t>
      </w:r>
    </w:p>
    <w:p w14:paraId="3B926889">
      <w:pPr>
        <w:pStyle w:val="2"/>
        <w:rPr>
          <w:rFonts w:hint="eastAsia"/>
        </w:rPr>
      </w:pPr>
      <w:r>
        <w:rPr>
          <w:rFonts w:hint="eastAsia"/>
        </w:rPr>
        <w:t xml:space="preserve">SigE- and SigB-mediated stress response pathways. Here, we show that the MprBA </w:t>
      </w:r>
    </w:p>
    <w:p w14:paraId="41C50BE6">
      <w:pPr>
        <w:pStyle w:val="2"/>
        <w:rPr>
          <w:rFonts w:hint="eastAsia"/>
        </w:rPr>
      </w:pPr>
      <w:r>
        <w:rPr>
          <w:rFonts w:hint="eastAsia"/>
        </w:rPr>
        <w:t xml:space="preserve">TCS is activated under respiration-inhibitory and acidic conditions in </w:t>
      </w:r>
    </w:p>
    <w:p w14:paraId="6E2E34CC">
      <w:pPr>
        <w:pStyle w:val="2"/>
        <w:rPr>
          <w:rFonts w:hint="eastAsia"/>
        </w:rPr>
      </w:pPr>
      <w:r>
        <w:rPr>
          <w:rFonts w:hint="eastAsia"/>
        </w:rPr>
        <w:t xml:space="preserve">Mycobacterium smegmatis, suggesting that this pathway responds to environmental </w:t>
      </w:r>
    </w:p>
    <w:p w14:paraId="10C13583">
      <w:pPr>
        <w:pStyle w:val="2"/>
        <w:rPr>
          <w:rFonts w:hint="eastAsia"/>
        </w:rPr>
      </w:pPr>
      <w:r>
        <w:rPr>
          <w:rFonts w:hint="eastAsia"/>
        </w:rPr>
        <w:t xml:space="preserve">cues relevant to host infection. We also identify an unexpected regulatory </w:t>
      </w:r>
    </w:p>
    <w:p w14:paraId="67D4B344">
      <w:pPr>
        <w:pStyle w:val="2"/>
        <w:rPr>
          <w:rFonts w:hint="eastAsia"/>
        </w:rPr>
      </w:pPr>
      <w:r>
        <w:rPr>
          <w:rFonts w:hint="eastAsia"/>
        </w:rPr>
        <w:t xml:space="preserve">relationship between the MprBA and KdpDE systems: in the absence of MprB, MprA </w:t>
      </w:r>
    </w:p>
    <w:p w14:paraId="3F629E56">
      <w:pPr>
        <w:pStyle w:val="2"/>
        <w:rPr>
          <w:rFonts w:hint="eastAsia"/>
        </w:rPr>
      </w:pPr>
      <w:r>
        <w:rPr>
          <w:rFonts w:hint="eastAsia"/>
        </w:rPr>
        <w:t xml:space="preserve">can be phosphorylated and activated by the noncognate histidine kinase KdpD. </w:t>
      </w:r>
    </w:p>
    <w:p w14:paraId="28EE8195">
      <w:pPr>
        <w:pStyle w:val="2"/>
        <w:rPr>
          <w:rFonts w:hint="eastAsia"/>
        </w:rPr>
      </w:pPr>
      <w:r>
        <w:rPr>
          <w:rFonts w:hint="eastAsia"/>
        </w:rPr>
        <w:t xml:space="preserve">These findings suggest that MprB phosphatase activity is critical for </w:t>
      </w:r>
    </w:p>
    <w:p w14:paraId="24942BDA">
      <w:pPr>
        <w:pStyle w:val="2"/>
        <w:rPr>
          <w:rFonts w:hint="eastAsia"/>
        </w:rPr>
      </w:pPr>
      <w:r>
        <w:rPr>
          <w:rFonts w:hint="eastAsia"/>
        </w:rPr>
        <w:t xml:space="preserve">maintaining low basal MprA activity and preventing inappropriate KdpD-mediated </w:t>
      </w:r>
    </w:p>
    <w:p w14:paraId="19E36F8C">
      <w:pPr>
        <w:pStyle w:val="2"/>
        <w:rPr>
          <w:rFonts w:hint="eastAsia"/>
        </w:rPr>
      </w:pPr>
      <w:r>
        <w:rPr>
          <w:rFonts w:hint="eastAsia"/>
        </w:rPr>
        <w:t>activation under non-stress conditions.</w:t>
      </w:r>
    </w:p>
    <w:p w14:paraId="7D6FE145">
      <w:pPr>
        <w:pStyle w:val="2"/>
        <w:rPr>
          <w:rFonts w:hint="eastAsia"/>
        </w:rPr>
      </w:pPr>
    </w:p>
    <w:p w14:paraId="5DBECE13">
      <w:pPr>
        <w:pStyle w:val="2"/>
        <w:rPr>
          <w:rFonts w:hint="eastAsia"/>
        </w:rPr>
      </w:pPr>
      <w:r>
        <w:rPr>
          <w:rFonts w:hint="eastAsia"/>
        </w:rPr>
        <w:t>DOI: 10.1128/jb.00361-26</w:t>
      </w:r>
    </w:p>
    <w:p w14:paraId="78441473">
      <w:pPr>
        <w:pStyle w:val="2"/>
        <w:rPr>
          <w:rFonts w:hint="eastAsia"/>
        </w:rPr>
      </w:pPr>
      <w:r>
        <w:rPr>
          <w:rFonts w:hint="eastAsia"/>
        </w:rPr>
        <w:t>PMID: 42836842</w:t>
      </w:r>
    </w:p>
    <w:p w14:paraId="434ACD39">
      <w:pPr>
        <w:pStyle w:val="2"/>
        <w:rPr>
          <w:rFonts w:hint="eastAsia"/>
        </w:rPr>
      </w:pPr>
    </w:p>
    <w:p w14:paraId="43192598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5</w:t>
      </w:r>
      <w:r>
        <w:rPr>
          <w:rFonts w:hint="eastAsia"/>
          <w:b/>
          <w:bCs/>
          <w:color w:val="FF0000"/>
          <w:lang w:val="en-US" w:eastAsia="zh-CN"/>
        </w:rPr>
        <w:t>0</w:t>
      </w:r>
      <w:r>
        <w:rPr>
          <w:rFonts w:hint="eastAsia"/>
          <w:b/>
          <w:bCs/>
          <w:color w:val="FF0000"/>
        </w:rPr>
        <w:t xml:space="preserve">. J Bacteriol. 2026 Oct 6:e0040826. doi: 10.1128/jb.00408-26. Online ahead of </w:t>
      </w:r>
    </w:p>
    <w:p w14:paraId="5722A590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print.</w:t>
      </w:r>
    </w:p>
    <w:p w14:paraId="76CDC8AB">
      <w:pPr>
        <w:pStyle w:val="2"/>
        <w:rPr>
          <w:rFonts w:hint="eastAsia"/>
        </w:rPr>
      </w:pPr>
    </w:p>
    <w:p w14:paraId="1F99E8B8">
      <w:pPr>
        <w:pStyle w:val="2"/>
        <w:rPr>
          <w:rFonts w:hint="eastAsia"/>
        </w:rPr>
      </w:pPr>
      <w:r>
        <w:rPr>
          <w:rFonts w:hint="eastAsia"/>
        </w:rPr>
        <w:t xml:space="preserve">The lysine acetyltransferase Rv0998 coordinates transcriptional and metabolic </w:t>
      </w:r>
    </w:p>
    <w:p w14:paraId="0C8501A9">
      <w:pPr>
        <w:pStyle w:val="2"/>
        <w:rPr>
          <w:rFonts w:hint="eastAsia"/>
        </w:rPr>
      </w:pPr>
      <w:r>
        <w:rPr>
          <w:rFonts w:hint="eastAsia"/>
        </w:rPr>
        <w:t>adaptation of Mycobacterium tuberculosis to acidic pH.</w:t>
      </w:r>
    </w:p>
    <w:p w14:paraId="74C1E739">
      <w:pPr>
        <w:pStyle w:val="2"/>
        <w:rPr>
          <w:rFonts w:hint="eastAsia"/>
        </w:rPr>
      </w:pPr>
    </w:p>
    <w:p w14:paraId="22E0A256">
      <w:pPr>
        <w:pStyle w:val="2"/>
        <w:rPr>
          <w:rFonts w:hint="eastAsia"/>
        </w:rPr>
      </w:pPr>
      <w:r>
        <w:rPr>
          <w:rFonts w:hint="eastAsia"/>
        </w:rPr>
        <w:t xml:space="preserve">Liu Y(1)(2), Fernandes N(3), Faulkner V(4)(5), Williams R(3), Johnson E(4)(5), </w:t>
      </w:r>
    </w:p>
    <w:p w14:paraId="5D6CA8AD">
      <w:pPr>
        <w:pStyle w:val="2"/>
        <w:rPr>
          <w:rFonts w:hint="eastAsia"/>
        </w:rPr>
      </w:pPr>
      <w:r>
        <w:rPr>
          <w:rFonts w:hint="eastAsia"/>
        </w:rPr>
        <w:t>Visweswariah S(6), Robertson BD(1)(3), Larrouy-Maumus G(1)(2).</w:t>
      </w:r>
    </w:p>
    <w:p w14:paraId="4997E114">
      <w:pPr>
        <w:pStyle w:val="2"/>
        <w:rPr>
          <w:rFonts w:hint="eastAsia"/>
        </w:rPr>
      </w:pPr>
    </w:p>
    <w:p w14:paraId="1908B1A2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4689F386">
      <w:pPr>
        <w:pStyle w:val="2"/>
        <w:rPr>
          <w:rFonts w:hint="eastAsia"/>
        </w:rPr>
      </w:pPr>
      <w:r>
        <w:rPr>
          <w:rFonts w:hint="eastAsia"/>
        </w:rPr>
        <w:t xml:space="preserve">(1)Centre for Bacterial Resistance Biology, Imperial College London, London, </w:t>
      </w:r>
    </w:p>
    <w:p w14:paraId="4F1467BC">
      <w:pPr>
        <w:pStyle w:val="2"/>
        <w:rPr>
          <w:rFonts w:hint="eastAsia"/>
        </w:rPr>
      </w:pPr>
      <w:r>
        <w:rPr>
          <w:rFonts w:hint="eastAsia"/>
        </w:rPr>
        <w:t>United Kingdom.</w:t>
      </w:r>
    </w:p>
    <w:p w14:paraId="4EBB1DE4">
      <w:pPr>
        <w:pStyle w:val="2"/>
        <w:rPr>
          <w:rFonts w:hint="eastAsia"/>
        </w:rPr>
      </w:pPr>
      <w:r>
        <w:rPr>
          <w:rFonts w:hint="eastAsia"/>
        </w:rPr>
        <w:t>(2)Department of Life Sciences, Imperial College London, London, United Kingdom.</w:t>
      </w:r>
    </w:p>
    <w:p w14:paraId="6E6F6E6B">
      <w:pPr>
        <w:pStyle w:val="2"/>
        <w:rPr>
          <w:rFonts w:hint="eastAsia"/>
        </w:rPr>
      </w:pPr>
      <w:r>
        <w:rPr>
          <w:rFonts w:hint="eastAsia"/>
        </w:rPr>
        <w:t xml:space="preserve">(3)Department of Infectious Diseases, Imperial College London, London, United </w:t>
      </w:r>
    </w:p>
    <w:p w14:paraId="58FF6B85">
      <w:pPr>
        <w:pStyle w:val="2"/>
        <w:rPr>
          <w:rFonts w:hint="eastAsia"/>
        </w:rPr>
      </w:pPr>
      <w:r>
        <w:rPr>
          <w:rFonts w:hint="eastAsia"/>
        </w:rPr>
        <w:t>Kingdom.</w:t>
      </w:r>
    </w:p>
    <w:p w14:paraId="1648B0EA">
      <w:pPr>
        <w:pStyle w:val="2"/>
        <w:rPr>
          <w:rFonts w:hint="eastAsia"/>
        </w:rPr>
      </w:pPr>
      <w:r>
        <w:rPr>
          <w:rFonts w:hint="eastAsia"/>
        </w:rPr>
        <w:t xml:space="preserve">(4)Department of Metabolism, Digestion and Reproduction, Imperial College </w:t>
      </w:r>
    </w:p>
    <w:p w14:paraId="31541E9A">
      <w:pPr>
        <w:pStyle w:val="2"/>
        <w:rPr>
          <w:rFonts w:hint="eastAsia"/>
        </w:rPr>
      </w:pPr>
      <w:r>
        <w:rPr>
          <w:rFonts w:hint="eastAsia"/>
        </w:rPr>
        <w:t>London, London, United Kingdom.</w:t>
      </w:r>
    </w:p>
    <w:p w14:paraId="5FA3B5E3">
      <w:pPr>
        <w:pStyle w:val="2"/>
        <w:rPr>
          <w:rFonts w:hint="eastAsia"/>
        </w:rPr>
      </w:pPr>
      <w:r>
        <w:rPr>
          <w:rFonts w:hint="eastAsia"/>
        </w:rPr>
        <w:t xml:space="preserve">(5)Systems Chemical Biology of Infection and Resistance Laboratory, Francis </w:t>
      </w:r>
    </w:p>
    <w:p w14:paraId="3BF21C69">
      <w:pPr>
        <w:pStyle w:val="2"/>
        <w:rPr>
          <w:rFonts w:hint="eastAsia"/>
        </w:rPr>
      </w:pPr>
      <w:r>
        <w:rPr>
          <w:rFonts w:hint="eastAsia"/>
        </w:rPr>
        <w:t>Crick Institute, London, United Kingdom.</w:t>
      </w:r>
    </w:p>
    <w:p w14:paraId="1165D1E3">
      <w:pPr>
        <w:pStyle w:val="2"/>
        <w:rPr>
          <w:rFonts w:hint="eastAsia"/>
        </w:rPr>
      </w:pPr>
      <w:r>
        <w:rPr>
          <w:rFonts w:hint="eastAsia"/>
        </w:rPr>
        <w:t xml:space="preserve">(6)Department of Developmental Biology and Genetics, Indian Institute of </w:t>
      </w:r>
    </w:p>
    <w:p w14:paraId="6A833204">
      <w:pPr>
        <w:pStyle w:val="2"/>
        <w:rPr>
          <w:rFonts w:hint="eastAsia"/>
        </w:rPr>
      </w:pPr>
      <w:r>
        <w:rPr>
          <w:rFonts w:hint="eastAsia"/>
        </w:rPr>
        <w:t>Science, Bengaluru, India.</w:t>
      </w:r>
    </w:p>
    <w:p w14:paraId="2569AD1E">
      <w:pPr>
        <w:pStyle w:val="2"/>
        <w:rPr>
          <w:rFonts w:hint="eastAsia"/>
        </w:rPr>
      </w:pPr>
    </w:p>
    <w:p w14:paraId="023DCD6D">
      <w:pPr>
        <w:pStyle w:val="2"/>
        <w:rPr>
          <w:rFonts w:hint="eastAsia"/>
        </w:rPr>
      </w:pPr>
      <w:r>
        <w:rPr>
          <w:rFonts w:hint="eastAsia"/>
        </w:rPr>
        <w:t xml:space="preserve">Mycobacterium tuberculosis (Mtb) survives host defenses by adapting to host </w:t>
      </w:r>
    </w:p>
    <w:p w14:paraId="0CE7D80D">
      <w:pPr>
        <w:pStyle w:val="2"/>
        <w:rPr>
          <w:rFonts w:hint="eastAsia"/>
        </w:rPr>
      </w:pPr>
      <w:r>
        <w:rPr>
          <w:rFonts w:hint="eastAsia"/>
        </w:rPr>
        <w:t xml:space="preserve">conditions, including acid stress, during infection. A critical survival </w:t>
      </w:r>
    </w:p>
    <w:p w14:paraId="33A20B5D">
      <w:pPr>
        <w:pStyle w:val="2"/>
        <w:rPr>
          <w:rFonts w:hint="eastAsia"/>
        </w:rPr>
      </w:pPr>
      <w:r>
        <w:rPr>
          <w:rFonts w:hint="eastAsia"/>
        </w:rPr>
        <w:t xml:space="preserve">strategy involves pH homeostasis, mediated by complex signaling systems that </w:t>
      </w:r>
    </w:p>
    <w:p w14:paraId="4D41036C">
      <w:pPr>
        <w:pStyle w:val="2"/>
        <w:rPr>
          <w:rFonts w:hint="eastAsia"/>
        </w:rPr>
      </w:pPr>
      <w:r>
        <w:rPr>
          <w:rFonts w:hint="eastAsia"/>
        </w:rPr>
        <w:t xml:space="preserve">regulate metabolic reprogramming and stress responses. While the lysine </w:t>
      </w:r>
    </w:p>
    <w:p w14:paraId="4A073D80">
      <w:pPr>
        <w:pStyle w:val="2"/>
        <w:rPr>
          <w:rFonts w:hint="eastAsia"/>
        </w:rPr>
      </w:pPr>
      <w:r>
        <w:rPr>
          <w:rFonts w:hint="eastAsia"/>
        </w:rPr>
        <w:t xml:space="preserve">acetyltransferase Rv0998 is known to support Mtb hypoxia adaptation and </w:t>
      </w:r>
    </w:p>
    <w:p w14:paraId="0199DF0E">
      <w:pPr>
        <w:pStyle w:val="2"/>
        <w:rPr>
          <w:rFonts w:hint="eastAsia"/>
        </w:rPr>
      </w:pPr>
      <w:r>
        <w:rPr>
          <w:rFonts w:hint="eastAsia"/>
        </w:rPr>
        <w:t xml:space="preserve">metabolic flexibility, its role in acid stress remains unexplored. Here, we </w:t>
      </w:r>
    </w:p>
    <w:p w14:paraId="6FAA29FD">
      <w:pPr>
        <w:pStyle w:val="2"/>
        <w:rPr>
          <w:rFonts w:hint="eastAsia"/>
        </w:rPr>
      </w:pPr>
      <w:r>
        <w:rPr>
          <w:rFonts w:hint="eastAsia"/>
        </w:rPr>
        <w:t xml:space="preserve">investigated the consequences of rv0998 deletion in 7H9 with glucose as the </w:t>
      </w:r>
    </w:p>
    <w:p w14:paraId="3F5ED254">
      <w:pPr>
        <w:pStyle w:val="2"/>
        <w:rPr>
          <w:rFonts w:hint="eastAsia"/>
        </w:rPr>
      </w:pPr>
      <w:r>
        <w:rPr>
          <w:rFonts w:hint="eastAsia"/>
        </w:rPr>
        <w:t xml:space="preserve">major carbon source. RNA-seq analysis showed that loss of Rv0998 altered the </w:t>
      </w:r>
    </w:p>
    <w:p w14:paraId="1BD959A3">
      <w:pPr>
        <w:pStyle w:val="2"/>
        <w:rPr>
          <w:rFonts w:hint="eastAsia"/>
        </w:rPr>
      </w:pPr>
      <w:r>
        <w:rPr>
          <w:rFonts w:hint="eastAsia"/>
        </w:rPr>
        <w:t xml:space="preserve">transcriptional response to acidic pH, including changes in the DosR regulon and </w:t>
      </w:r>
    </w:p>
    <w:p w14:paraId="7C80C08A">
      <w:pPr>
        <w:pStyle w:val="2"/>
        <w:rPr>
          <w:rFonts w:hint="eastAsia"/>
        </w:rPr>
      </w:pPr>
      <w:r>
        <w:rPr>
          <w:rFonts w:hint="eastAsia"/>
        </w:rPr>
        <w:t xml:space="preserve">pfkB/Rv2029c. Stable isotope tracing with [U-13C6]-glucose also showed reduced </w:t>
      </w:r>
    </w:p>
    <w:p w14:paraId="38287007">
      <w:pPr>
        <w:pStyle w:val="2"/>
        <w:rPr>
          <w:rFonts w:hint="eastAsia"/>
        </w:rPr>
      </w:pPr>
      <w:r>
        <w:rPr>
          <w:rFonts w:hint="eastAsia"/>
        </w:rPr>
        <w:t xml:space="preserve">fractional 13C labeling across central carbon metabolites in the rv0998 mutant, </w:t>
      </w:r>
    </w:p>
    <w:p w14:paraId="603AAA8B">
      <w:pPr>
        <w:pStyle w:val="2"/>
        <w:rPr>
          <w:rFonts w:hint="eastAsia"/>
        </w:rPr>
      </w:pPr>
      <w:r>
        <w:rPr>
          <w:rFonts w:hint="eastAsia"/>
        </w:rPr>
        <w:t xml:space="preserve">with the largest decrease at acidic pH observed in upper glycolytic and </w:t>
      </w:r>
    </w:p>
    <w:p w14:paraId="6E975275">
      <w:pPr>
        <w:pStyle w:val="2"/>
        <w:rPr>
          <w:rFonts w:hint="eastAsia"/>
        </w:rPr>
      </w:pPr>
      <w:r>
        <w:rPr>
          <w:rFonts w:hint="eastAsia"/>
        </w:rPr>
        <w:t xml:space="preserve">connected hexose-phosphate intermediates. Growth and glucose-labeling phenotypes </w:t>
      </w:r>
    </w:p>
    <w:p w14:paraId="5F321DC6">
      <w:pPr>
        <w:pStyle w:val="2"/>
        <w:rPr>
          <w:rFonts w:hint="eastAsia"/>
        </w:rPr>
      </w:pPr>
      <w:r>
        <w:rPr>
          <w:rFonts w:hint="eastAsia"/>
        </w:rPr>
        <w:t xml:space="preserve">of dosR and pfkB mutants provided focused examples of stress-responsive and </w:t>
      </w:r>
    </w:p>
    <w:p w14:paraId="59CFA707">
      <w:pPr>
        <w:pStyle w:val="2"/>
        <w:rPr>
          <w:rFonts w:hint="eastAsia"/>
        </w:rPr>
      </w:pPr>
      <w:r>
        <w:rPr>
          <w:rFonts w:hint="eastAsia"/>
        </w:rPr>
        <w:t xml:space="preserve">carbon-metabolic processes associated with the broader Rv0998 response. These </w:t>
      </w:r>
    </w:p>
    <w:p w14:paraId="54268467">
      <w:pPr>
        <w:pStyle w:val="2"/>
        <w:rPr>
          <w:rFonts w:hint="eastAsia"/>
        </w:rPr>
      </w:pPr>
      <w:r>
        <w:rPr>
          <w:rFonts w:hint="eastAsia"/>
        </w:rPr>
        <w:t xml:space="preserve">findings indicate that Rv0998 contributes to coordinated transcriptional and </w:t>
      </w:r>
    </w:p>
    <w:p w14:paraId="54DDC3A2">
      <w:pPr>
        <w:pStyle w:val="2"/>
        <w:rPr>
          <w:rFonts w:hint="eastAsia"/>
        </w:rPr>
      </w:pPr>
      <w:r>
        <w:rPr>
          <w:rFonts w:hint="eastAsia"/>
        </w:rPr>
        <w:t xml:space="preserve">metabolic adaptation of Mtb to acidic pH, and support further investigation of </w:t>
      </w:r>
    </w:p>
    <w:p w14:paraId="6F7945AE">
      <w:pPr>
        <w:pStyle w:val="2"/>
        <w:rPr>
          <w:rFonts w:hint="eastAsia"/>
        </w:rPr>
      </w:pPr>
      <w:r>
        <w:rPr>
          <w:rFonts w:hint="eastAsia"/>
        </w:rPr>
        <w:t xml:space="preserve">how stress-responsive regulatory programs are coupled to carbon metabolism </w:t>
      </w:r>
    </w:p>
    <w:p w14:paraId="673D83D6">
      <w:pPr>
        <w:pStyle w:val="2"/>
        <w:rPr>
          <w:rFonts w:hint="eastAsia"/>
        </w:rPr>
      </w:pPr>
      <w:r>
        <w:rPr>
          <w:rFonts w:hint="eastAsia"/>
        </w:rPr>
        <w:t xml:space="preserve">during acid adaptation.IMPORTANCEMycobacterium tuberculosis (Mtb) persists in </w:t>
      </w:r>
    </w:p>
    <w:p w14:paraId="4887DC0D">
      <w:pPr>
        <w:pStyle w:val="2"/>
        <w:rPr>
          <w:rFonts w:hint="eastAsia"/>
        </w:rPr>
      </w:pPr>
      <w:r>
        <w:rPr>
          <w:rFonts w:hint="eastAsia"/>
        </w:rPr>
        <w:t xml:space="preserve">host environments that are both acidic and nutritionally variable, but the </w:t>
      </w:r>
    </w:p>
    <w:p w14:paraId="0811653C">
      <w:pPr>
        <w:pStyle w:val="2"/>
        <w:rPr>
          <w:rFonts w:hint="eastAsia"/>
        </w:rPr>
      </w:pPr>
      <w:r>
        <w:rPr>
          <w:rFonts w:hint="eastAsia"/>
        </w:rPr>
        <w:t xml:space="preserve">regulatory processes that connect these stresses to metabolism remain </w:t>
      </w:r>
    </w:p>
    <w:p w14:paraId="25A67D4F">
      <w:pPr>
        <w:pStyle w:val="2"/>
        <w:rPr>
          <w:rFonts w:hint="eastAsia"/>
        </w:rPr>
      </w:pPr>
      <w:r>
        <w:rPr>
          <w:rFonts w:hint="eastAsia"/>
        </w:rPr>
        <w:t xml:space="preserve">incompletely understood. We show that loss of the lysine acetyltransferase </w:t>
      </w:r>
    </w:p>
    <w:p w14:paraId="1742A647">
      <w:pPr>
        <w:pStyle w:val="2"/>
        <w:rPr>
          <w:rFonts w:hint="eastAsia"/>
        </w:rPr>
      </w:pPr>
      <w:r>
        <w:rPr>
          <w:rFonts w:hint="eastAsia"/>
        </w:rPr>
        <w:t xml:space="preserve">Rv0998 impairs growth at acidic pH when glucose is the major carbon source, and </w:t>
      </w:r>
    </w:p>
    <w:p w14:paraId="02275ECE">
      <w:pPr>
        <w:pStyle w:val="2"/>
        <w:rPr>
          <w:rFonts w:hint="eastAsia"/>
        </w:rPr>
      </w:pPr>
      <w:r>
        <w:rPr>
          <w:rFonts w:hint="eastAsia"/>
        </w:rPr>
        <w:t xml:space="preserve">is accompanied by broad changes in gene expression and incorporation of </w:t>
      </w:r>
    </w:p>
    <w:p w14:paraId="27C3C2BF">
      <w:pPr>
        <w:pStyle w:val="2"/>
        <w:rPr>
          <w:rFonts w:hint="eastAsia"/>
        </w:rPr>
      </w:pPr>
      <w:r>
        <w:rPr>
          <w:rFonts w:hint="eastAsia"/>
        </w:rPr>
        <w:t xml:space="preserve">glucose-derived carbon into central metabolites. The phenotype is not apparent </w:t>
      </w:r>
    </w:p>
    <w:p w14:paraId="2494FEC4">
      <w:pPr>
        <w:pStyle w:val="2"/>
        <w:rPr>
          <w:rFonts w:hint="eastAsia"/>
        </w:rPr>
      </w:pPr>
      <w:r>
        <w:rPr>
          <w:rFonts w:hint="eastAsia"/>
        </w:rPr>
        <w:t xml:space="preserve">when glycerol is also present, indicating that the response depends on </w:t>
      </w:r>
    </w:p>
    <w:p w14:paraId="1E3B0FA5">
      <w:pPr>
        <w:pStyle w:val="2"/>
        <w:rPr>
          <w:rFonts w:hint="eastAsia"/>
        </w:rPr>
      </w:pPr>
      <w:r>
        <w:rPr>
          <w:rFonts w:hint="eastAsia"/>
        </w:rPr>
        <w:t xml:space="preserve">carbon-source context. These findings identify Rv0998 as a contributor to the </w:t>
      </w:r>
    </w:p>
    <w:p w14:paraId="13B7AAE1">
      <w:pPr>
        <w:pStyle w:val="2"/>
        <w:rPr>
          <w:rFonts w:hint="eastAsia"/>
        </w:rPr>
      </w:pPr>
      <w:r>
        <w:rPr>
          <w:rFonts w:hint="eastAsia"/>
        </w:rPr>
        <w:t xml:space="preserve">coordination of acid-stress adaptation and central carbon metabolism in Mtb, the </w:t>
      </w:r>
    </w:p>
    <w:p w14:paraId="06CCC0F7">
      <w:pPr>
        <w:pStyle w:val="2"/>
        <w:rPr>
          <w:rFonts w:hint="eastAsia"/>
        </w:rPr>
      </w:pPr>
      <w:r>
        <w:rPr>
          <w:rFonts w:hint="eastAsia"/>
        </w:rPr>
        <w:t>bacterium that causes tuberculosis.</w:t>
      </w:r>
    </w:p>
    <w:p w14:paraId="4C15F86F">
      <w:pPr>
        <w:pStyle w:val="2"/>
        <w:rPr>
          <w:rFonts w:hint="eastAsia"/>
        </w:rPr>
      </w:pPr>
    </w:p>
    <w:p w14:paraId="08608B2E">
      <w:pPr>
        <w:pStyle w:val="2"/>
        <w:rPr>
          <w:rFonts w:hint="eastAsia"/>
        </w:rPr>
      </w:pPr>
      <w:r>
        <w:rPr>
          <w:rFonts w:hint="eastAsia"/>
        </w:rPr>
        <w:t>DOI: 10.1128/jb.00408-26</w:t>
      </w:r>
    </w:p>
    <w:p w14:paraId="08084112">
      <w:pPr>
        <w:pStyle w:val="2"/>
        <w:rPr>
          <w:rFonts w:hint="eastAsia"/>
        </w:rPr>
      </w:pPr>
      <w:r>
        <w:rPr>
          <w:rFonts w:hint="eastAsia"/>
        </w:rPr>
        <w:t>PMID: 42836796</w:t>
      </w:r>
    </w:p>
    <w:p w14:paraId="0BF96911">
      <w:pPr>
        <w:pStyle w:val="2"/>
        <w:rPr>
          <w:rFonts w:hint="eastAsia"/>
        </w:rPr>
      </w:pPr>
    </w:p>
    <w:p w14:paraId="1F0A7ACC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5</w:t>
      </w:r>
      <w:r>
        <w:rPr>
          <w:rFonts w:hint="eastAsia"/>
          <w:b/>
          <w:bCs/>
          <w:color w:val="FF0000"/>
          <w:lang w:val="en-US" w:eastAsia="zh-CN"/>
        </w:rPr>
        <w:t>1</w:t>
      </w:r>
      <w:r>
        <w:rPr>
          <w:rFonts w:hint="eastAsia"/>
          <w:b/>
          <w:bCs/>
          <w:color w:val="FF0000"/>
        </w:rPr>
        <w:t xml:space="preserve">. Microbiol Spectr. 2026 Oct 6:e0128126. doi: 10.1128/spectrum.01281-26. Online </w:t>
      </w:r>
    </w:p>
    <w:p w14:paraId="49FD513F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ahead of print.</w:t>
      </w:r>
    </w:p>
    <w:p w14:paraId="58B59717">
      <w:pPr>
        <w:pStyle w:val="2"/>
        <w:rPr>
          <w:rFonts w:hint="eastAsia"/>
        </w:rPr>
      </w:pPr>
    </w:p>
    <w:p w14:paraId="78010F25">
      <w:pPr>
        <w:pStyle w:val="2"/>
        <w:rPr>
          <w:rFonts w:hint="eastAsia"/>
        </w:rPr>
      </w:pPr>
      <w:r>
        <w:rPr>
          <w:rFonts w:hint="eastAsia"/>
        </w:rPr>
        <w:t xml:space="preserve">Optimizing diagnosis of Mycobacterium tuberculosis latent infection: ELISpot as </w:t>
      </w:r>
    </w:p>
    <w:p w14:paraId="579FB74A">
      <w:pPr>
        <w:pStyle w:val="2"/>
        <w:rPr>
          <w:rFonts w:hint="eastAsia"/>
        </w:rPr>
      </w:pPr>
      <w:r>
        <w:rPr>
          <w:rFonts w:hint="eastAsia"/>
        </w:rPr>
        <w:t xml:space="preserve">a technique of choice for samples with high negative control values in </w:t>
      </w:r>
    </w:p>
    <w:p w14:paraId="55152F89">
      <w:pPr>
        <w:pStyle w:val="2"/>
        <w:rPr>
          <w:rFonts w:hint="eastAsia"/>
        </w:rPr>
      </w:pPr>
      <w:r>
        <w:rPr>
          <w:rFonts w:hint="eastAsia"/>
        </w:rPr>
        <w:t>QuantiFERON assay.</w:t>
      </w:r>
    </w:p>
    <w:p w14:paraId="454EBFF3">
      <w:pPr>
        <w:pStyle w:val="2"/>
        <w:rPr>
          <w:rFonts w:hint="eastAsia"/>
        </w:rPr>
      </w:pPr>
    </w:p>
    <w:p w14:paraId="5DE12EE8">
      <w:pPr>
        <w:pStyle w:val="2"/>
        <w:rPr>
          <w:rFonts w:hint="eastAsia"/>
        </w:rPr>
      </w:pPr>
      <w:r>
        <w:rPr>
          <w:rFonts w:hint="eastAsia"/>
        </w:rPr>
        <w:t xml:space="preserve">Amen A(1), Dumestre-Pérard C(1), Bonneville E(2), Vilotitch A(3), Pernollet </w:t>
      </w:r>
    </w:p>
    <w:p w14:paraId="34E7A75D">
      <w:pPr>
        <w:pStyle w:val="2"/>
        <w:rPr>
          <w:rFonts w:hint="eastAsia"/>
        </w:rPr>
      </w:pPr>
      <w:r>
        <w:rPr>
          <w:rFonts w:hint="eastAsia"/>
        </w:rPr>
        <w:t>M(2), Clavarino G(1).</w:t>
      </w:r>
    </w:p>
    <w:p w14:paraId="49E1895E">
      <w:pPr>
        <w:pStyle w:val="2"/>
        <w:rPr>
          <w:rFonts w:hint="eastAsia"/>
        </w:rPr>
      </w:pPr>
    </w:p>
    <w:p w14:paraId="4DAD166C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1ED5DA7A">
      <w:pPr>
        <w:pStyle w:val="2"/>
        <w:rPr>
          <w:rFonts w:hint="eastAsia"/>
        </w:rPr>
      </w:pPr>
      <w:r>
        <w:rPr>
          <w:rFonts w:hint="eastAsia"/>
        </w:rPr>
        <w:t xml:space="preserve">(1)Department of Immunology, Grenoble Alpes University Hospital, University of </w:t>
      </w:r>
    </w:p>
    <w:p w14:paraId="1F2380A1">
      <w:pPr>
        <w:pStyle w:val="2"/>
        <w:rPr>
          <w:rFonts w:hint="eastAsia"/>
        </w:rPr>
      </w:pPr>
      <w:r>
        <w:rPr>
          <w:rFonts w:hint="eastAsia"/>
        </w:rPr>
        <w:t>Grenoble Alpes, CNRS, CEA, UMR5075, IBS, Grenoble, France.</w:t>
      </w:r>
    </w:p>
    <w:p w14:paraId="37E5F8AD">
      <w:pPr>
        <w:pStyle w:val="2"/>
        <w:rPr>
          <w:rFonts w:hint="eastAsia"/>
        </w:rPr>
      </w:pPr>
      <w:r>
        <w:rPr>
          <w:rFonts w:hint="eastAsia"/>
        </w:rPr>
        <w:t xml:space="preserve">(2)Department of Immunology, Grenoble Alpes University Hospital, Grenoble, </w:t>
      </w:r>
    </w:p>
    <w:p w14:paraId="72E829B5">
      <w:pPr>
        <w:pStyle w:val="2"/>
        <w:rPr>
          <w:rFonts w:hint="eastAsia"/>
        </w:rPr>
      </w:pPr>
      <w:r>
        <w:rPr>
          <w:rFonts w:hint="eastAsia"/>
        </w:rPr>
        <w:t>France.</w:t>
      </w:r>
    </w:p>
    <w:p w14:paraId="2739200D">
      <w:pPr>
        <w:pStyle w:val="2"/>
        <w:rPr>
          <w:rFonts w:hint="eastAsia"/>
        </w:rPr>
      </w:pPr>
      <w:r>
        <w:rPr>
          <w:rFonts w:hint="eastAsia"/>
        </w:rPr>
        <w:t xml:space="preserve">(3)Data Engineering Unit, Public Health Department, Grenoble Alpes University </w:t>
      </w:r>
    </w:p>
    <w:p w14:paraId="03A628D1">
      <w:pPr>
        <w:pStyle w:val="2"/>
        <w:rPr>
          <w:rFonts w:hint="eastAsia"/>
        </w:rPr>
      </w:pPr>
      <w:r>
        <w:rPr>
          <w:rFonts w:hint="eastAsia"/>
        </w:rPr>
        <w:t>Hospital, University of Grenoble Alpes, Grenoble, France.</w:t>
      </w:r>
    </w:p>
    <w:p w14:paraId="52E21B3C">
      <w:pPr>
        <w:pStyle w:val="2"/>
        <w:rPr>
          <w:rFonts w:hint="eastAsia"/>
        </w:rPr>
      </w:pPr>
    </w:p>
    <w:p w14:paraId="56DD97C3">
      <w:pPr>
        <w:pStyle w:val="2"/>
        <w:rPr>
          <w:rFonts w:hint="eastAsia"/>
        </w:rPr>
      </w:pPr>
      <w:r>
        <w:rPr>
          <w:rFonts w:hint="eastAsia"/>
        </w:rPr>
        <w:t xml:space="preserve">A quarter of the world's population is considered to be affected by latent </w:t>
      </w:r>
    </w:p>
    <w:p w14:paraId="584AFDF5">
      <w:pPr>
        <w:pStyle w:val="2"/>
        <w:rPr>
          <w:rFonts w:hint="eastAsia"/>
        </w:rPr>
      </w:pPr>
      <w:r>
        <w:rPr>
          <w:rFonts w:hint="eastAsia"/>
        </w:rPr>
        <w:t xml:space="preserve">tuberculosis infection (LTBI) by the World Health Organization, which recommends </w:t>
      </w:r>
    </w:p>
    <w:p w14:paraId="29FAEE55">
      <w:pPr>
        <w:pStyle w:val="2"/>
        <w:rPr>
          <w:rFonts w:hint="eastAsia"/>
        </w:rPr>
      </w:pPr>
      <w:r>
        <w:rPr>
          <w:rFonts w:hint="eastAsia"/>
        </w:rPr>
        <w:t xml:space="preserve">that individuals with LTBI receive anti-tuberculosis treatment, aiming to avoid </w:t>
      </w:r>
    </w:p>
    <w:p w14:paraId="53212088">
      <w:pPr>
        <w:pStyle w:val="2"/>
        <w:rPr>
          <w:rFonts w:hint="eastAsia"/>
        </w:rPr>
      </w:pPr>
      <w:r>
        <w:rPr>
          <w:rFonts w:hint="eastAsia"/>
        </w:rPr>
        <w:t xml:space="preserve">progression to active tuberculosis and transmission. Moreover, patients </w:t>
      </w:r>
    </w:p>
    <w:p w14:paraId="1DDF93C4">
      <w:pPr>
        <w:pStyle w:val="2"/>
        <w:rPr>
          <w:rFonts w:hint="eastAsia"/>
        </w:rPr>
      </w:pPr>
      <w:r>
        <w:rPr>
          <w:rFonts w:hint="eastAsia"/>
        </w:rPr>
        <w:t xml:space="preserve">undergoing immunosuppressive therapy, such as anti-TNFα antibodies, constitute a growing high-risk group for which LTBI screening prior to treatment initiation </w:t>
      </w:r>
    </w:p>
    <w:p w14:paraId="71F886A8">
      <w:pPr>
        <w:pStyle w:val="2"/>
        <w:rPr>
          <w:rFonts w:hint="eastAsia"/>
        </w:rPr>
      </w:pPr>
      <w:r>
        <w:rPr>
          <w:rFonts w:hint="eastAsia"/>
        </w:rPr>
        <w:t xml:space="preserve">is strongly advised. Improving LTBI diagnosis and patient management relies on </w:t>
      </w:r>
    </w:p>
    <w:p w14:paraId="79B7FB8F">
      <w:pPr>
        <w:pStyle w:val="2"/>
        <w:rPr>
          <w:rFonts w:hint="eastAsia"/>
        </w:rPr>
      </w:pPr>
      <w:r>
        <w:rPr>
          <w:rFonts w:hint="eastAsia"/>
        </w:rPr>
        <w:t xml:space="preserve">the accuracy of broadly deployed laboratory tests, such as interferon-gamma </w:t>
      </w:r>
    </w:p>
    <w:p w14:paraId="78C4829C">
      <w:pPr>
        <w:pStyle w:val="2"/>
        <w:rPr>
          <w:rFonts w:hint="eastAsia"/>
        </w:rPr>
      </w:pPr>
      <w:r>
        <w:rPr>
          <w:rFonts w:hint="eastAsia"/>
        </w:rPr>
        <w:t xml:space="preserve">release assays (IGRAs). The QuantiFERON-TB test is one of the most widely used </w:t>
      </w:r>
    </w:p>
    <w:p w14:paraId="70218C95">
      <w:pPr>
        <w:pStyle w:val="2"/>
        <w:rPr>
          <w:rFonts w:hint="eastAsia"/>
        </w:rPr>
      </w:pPr>
      <w:r>
        <w:rPr>
          <w:rFonts w:hint="eastAsia"/>
        </w:rPr>
        <w:t xml:space="preserve">IGRAs worldwide. In some cases, results may be defined as indeterminate when the </w:t>
      </w:r>
    </w:p>
    <w:p w14:paraId="0217F4F7">
      <w:pPr>
        <w:pStyle w:val="2"/>
        <w:rPr>
          <w:rFonts w:hint="eastAsia"/>
        </w:rPr>
      </w:pPr>
      <w:r>
        <w:rPr>
          <w:rFonts w:hint="eastAsia"/>
        </w:rPr>
        <w:t xml:space="preserve">negative control (Nil) exceeds 8 IU/mL, delaying or preventing appropriate </w:t>
      </w:r>
    </w:p>
    <w:p w14:paraId="1CDA00F1">
      <w:pPr>
        <w:pStyle w:val="2"/>
        <w:rPr>
          <w:rFonts w:hint="eastAsia"/>
        </w:rPr>
      </w:pPr>
      <w:r>
        <w:rPr>
          <w:rFonts w:hint="eastAsia"/>
        </w:rPr>
        <w:t xml:space="preserve">patient care. This scenario was observed in 57 (0.8%) patients out of the 6,600 </w:t>
      </w:r>
    </w:p>
    <w:p w14:paraId="1A982863">
      <w:pPr>
        <w:pStyle w:val="2"/>
        <w:rPr>
          <w:rFonts w:hint="eastAsia"/>
        </w:rPr>
      </w:pPr>
      <w:r>
        <w:rPr>
          <w:rFonts w:hint="eastAsia"/>
        </w:rPr>
        <w:t xml:space="preserve">tested in Grenoble University Hospital from November 2022 to November 2025. </w:t>
      </w:r>
    </w:p>
    <w:p w14:paraId="2CD3DE96">
      <w:pPr>
        <w:pStyle w:val="2"/>
        <w:rPr>
          <w:rFonts w:hint="eastAsia"/>
        </w:rPr>
      </w:pPr>
      <w:r>
        <w:rPr>
          <w:rFonts w:hint="eastAsia"/>
        </w:rPr>
        <w:t xml:space="preserve">Subsequent re-evaluation with either QuantiFERON-TB and/or the ELISpot-based </w:t>
      </w:r>
    </w:p>
    <w:p w14:paraId="7FC4F302">
      <w:pPr>
        <w:pStyle w:val="2"/>
        <w:rPr>
          <w:rFonts w:hint="eastAsia"/>
        </w:rPr>
      </w:pPr>
      <w:r>
        <w:rPr>
          <w:rFonts w:hint="eastAsia"/>
        </w:rPr>
        <w:t xml:space="preserve">T-SPOT.TB assays was possible for 34 patients. Among the 15 samples tested again </w:t>
      </w:r>
    </w:p>
    <w:p w14:paraId="7C80A72B">
      <w:pPr>
        <w:pStyle w:val="2"/>
        <w:rPr>
          <w:rFonts w:hint="eastAsia"/>
        </w:rPr>
      </w:pPr>
      <w:r>
        <w:rPr>
          <w:rFonts w:hint="eastAsia"/>
        </w:rPr>
        <w:t xml:space="preserve">with QuantiFERON-TB, 12 finally resulted in being positive, while three remained </w:t>
      </w:r>
    </w:p>
    <w:p w14:paraId="48306303">
      <w:pPr>
        <w:pStyle w:val="2"/>
        <w:rPr>
          <w:rFonts w:hint="eastAsia"/>
        </w:rPr>
      </w:pPr>
      <w:r>
        <w:rPr>
          <w:rFonts w:hint="eastAsia"/>
        </w:rPr>
        <w:t xml:space="preserve">indeterminate. By contrast, all 19 patients tested with T-SPOT.TB returned </w:t>
      </w:r>
    </w:p>
    <w:p w14:paraId="33B5B070">
      <w:pPr>
        <w:pStyle w:val="2"/>
        <w:rPr>
          <w:rFonts w:hint="eastAsia"/>
        </w:rPr>
      </w:pPr>
      <w:r>
        <w:rPr>
          <w:rFonts w:hint="eastAsia"/>
        </w:rPr>
        <w:t xml:space="preserve">unequivocally positive results. We suggest that repeating IGRA testing is </w:t>
      </w:r>
    </w:p>
    <w:p w14:paraId="20145376">
      <w:pPr>
        <w:pStyle w:val="2"/>
        <w:rPr>
          <w:rFonts w:hint="eastAsia"/>
        </w:rPr>
      </w:pPr>
      <w:r>
        <w:rPr>
          <w:rFonts w:hint="eastAsia"/>
        </w:rPr>
        <w:t xml:space="preserve">essential when QuantiFERON-TB results are indeterminate due to elevated Nil </w:t>
      </w:r>
    </w:p>
    <w:p w14:paraId="04BA9D34">
      <w:pPr>
        <w:pStyle w:val="2"/>
        <w:rPr>
          <w:rFonts w:hint="eastAsia"/>
        </w:rPr>
      </w:pPr>
      <w:r>
        <w:rPr>
          <w:rFonts w:hint="eastAsia"/>
        </w:rPr>
        <w:t xml:space="preserve">values, with the T-SPOT.TB assay being a choice solution. Our results highlight </w:t>
      </w:r>
    </w:p>
    <w:p w14:paraId="7B734A93">
      <w:pPr>
        <w:pStyle w:val="2"/>
        <w:rPr>
          <w:rFonts w:hint="eastAsia"/>
        </w:rPr>
      </w:pPr>
      <w:r>
        <w:rPr>
          <w:rFonts w:hint="eastAsia"/>
        </w:rPr>
        <w:t xml:space="preserve">an impactful strategy for strengthening LTBI diagnosis, enabling timely </w:t>
      </w:r>
    </w:p>
    <w:p w14:paraId="7B503B01">
      <w:pPr>
        <w:pStyle w:val="2"/>
        <w:rPr>
          <w:rFonts w:hint="eastAsia"/>
        </w:rPr>
      </w:pPr>
      <w:r>
        <w:rPr>
          <w:rFonts w:hint="eastAsia"/>
        </w:rPr>
        <w:t xml:space="preserve">chemoprophylaxis, preventing progression to active disease, and contributing to </w:t>
      </w:r>
    </w:p>
    <w:p w14:paraId="7BEC3CFE">
      <w:pPr>
        <w:pStyle w:val="2"/>
        <w:rPr>
          <w:rFonts w:hint="eastAsia"/>
        </w:rPr>
      </w:pPr>
      <w:r>
        <w:rPr>
          <w:rFonts w:hint="eastAsia"/>
        </w:rPr>
        <w:t xml:space="preserve">global tuberculosis control.IMPORTANCEInterferon-gamma release assays (IGRAs), </w:t>
      </w:r>
    </w:p>
    <w:p w14:paraId="00B35C11">
      <w:pPr>
        <w:pStyle w:val="2"/>
        <w:rPr>
          <w:rFonts w:hint="eastAsia"/>
        </w:rPr>
      </w:pPr>
      <w:r>
        <w:rPr>
          <w:rFonts w:hint="eastAsia"/>
        </w:rPr>
        <w:t xml:space="preserve">including QuantiFERON-TB and ELISpot-based T-SPOT.TB, are essential laboratory </w:t>
      </w:r>
    </w:p>
    <w:p w14:paraId="752CF81F">
      <w:pPr>
        <w:pStyle w:val="2"/>
        <w:rPr>
          <w:rFonts w:hint="eastAsia"/>
        </w:rPr>
      </w:pPr>
      <w:r>
        <w:rPr>
          <w:rFonts w:hint="eastAsia"/>
        </w:rPr>
        <w:t xml:space="preserve">tools for latent tuberculosis infection (LTBI) diagnosis. However, indeterminate </w:t>
      </w:r>
    </w:p>
    <w:p w14:paraId="3001648B">
      <w:pPr>
        <w:pStyle w:val="2"/>
        <w:rPr>
          <w:rFonts w:hint="eastAsia"/>
        </w:rPr>
      </w:pPr>
      <w:r>
        <w:rPr>
          <w:rFonts w:hint="eastAsia"/>
        </w:rPr>
        <w:t xml:space="preserve">QuantiFERON results with elevated Nil values (&gt;8 IU/mL) are a challenge to </w:t>
      </w:r>
    </w:p>
    <w:p w14:paraId="6AA675DE">
      <w:pPr>
        <w:pStyle w:val="2"/>
        <w:rPr>
          <w:rFonts w:hint="eastAsia"/>
        </w:rPr>
      </w:pPr>
      <w:r>
        <w:rPr>
          <w:rFonts w:hint="eastAsia"/>
        </w:rPr>
        <w:t xml:space="preserve">timely clinical management. Our findings demonstrate that systematic retesting </w:t>
      </w:r>
    </w:p>
    <w:p w14:paraId="7C59D124">
      <w:pPr>
        <w:pStyle w:val="2"/>
        <w:rPr>
          <w:rFonts w:hint="eastAsia"/>
        </w:rPr>
      </w:pPr>
      <w:r>
        <w:rPr>
          <w:rFonts w:hint="eastAsia"/>
        </w:rPr>
        <w:t xml:space="preserve">with IGRAs is essential, with most cases yielding positive results upon repeat </w:t>
      </w:r>
    </w:p>
    <w:p w14:paraId="2131557E">
      <w:pPr>
        <w:pStyle w:val="2"/>
        <w:rPr>
          <w:rFonts w:hint="eastAsia"/>
        </w:rPr>
      </w:pPr>
      <w:r>
        <w:rPr>
          <w:rFonts w:hint="eastAsia"/>
        </w:rPr>
        <w:t xml:space="preserve">testing. T-SPOT.TB appears to be the most reliable alternative for resolving </w:t>
      </w:r>
    </w:p>
    <w:p w14:paraId="6F28C892">
      <w:pPr>
        <w:pStyle w:val="2"/>
        <w:rPr>
          <w:rFonts w:hint="eastAsia"/>
        </w:rPr>
      </w:pPr>
      <w:r>
        <w:rPr>
          <w:rFonts w:hint="eastAsia"/>
        </w:rPr>
        <w:t xml:space="preserve">these indeterminate outcomes. This approach enhances LTBI detection, supports </w:t>
      </w:r>
    </w:p>
    <w:p w14:paraId="52D56699">
      <w:pPr>
        <w:pStyle w:val="2"/>
        <w:rPr>
          <w:rFonts w:hint="eastAsia"/>
        </w:rPr>
      </w:pPr>
      <w:r>
        <w:rPr>
          <w:rFonts w:hint="eastAsia"/>
        </w:rPr>
        <w:t xml:space="preserve">prompt chemoprophylaxis, and contributes to preventing progression to active </w:t>
      </w:r>
    </w:p>
    <w:p w14:paraId="6A0C33EB">
      <w:pPr>
        <w:pStyle w:val="2"/>
        <w:rPr>
          <w:rFonts w:hint="eastAsia"/>
        </w:rPr>
      </w:pPr>
      <w:r>
        <w:rPr>
          <w:rFonts w:hint="eastAsia"/>
        </w:rPr>
        <w:t>tuberculosis.</w:t>
      </w:r>
    </w:p>
    <w:p w14:paraId="56C87DAD">
      <w:pPr>
        <w:pStyle w:val="2"/>
        <w:rPr>
          <w:rFonts w:hint="eastAsia"/>
        </w:rPr>
      </w:pPr>
    </w:p>
    <w:p w14:paraId="799D0D3E">
      <w:pPr>
        <w:pStyle w:val="2"/>
        <w:rPr>
          <w:rFonts w:hint="eastAsia"/>
        </w:rPr>
      </w:pPr>
      <w:r>
        <w:rPr>
          <w:rFonts w:hint="eastAsia"/>
        </w:rPr>
        <w:t>DOI: 10.1128/spectrum.01281-26</w:t>
      </w:r>
    </w:p>
    <w:p w14:paraId="317F8268">
      <w:pPr>
        <w:pStyle w:val="2"/>
        <w:rPr>
          <w:rFonts w:hint="eastAsia"/>
        </w:rPr>
      </w:pPr>
      <w:r>
        <w:rPr>
          <w:rFonts w:hint="eastAsia"/>
        </w:rPr>
        <w:t>PMID: 42836663</w:t>
      </w:r>
    </w:p>
    <w:p w14:paraId="42A55848">
      <w:pPr>
        <w:pStyle w:val="2"/>
        <w:rPr>
          <w:rFonts w:hint="eastAsia"/>
        </w:rPr>
      </w:pPr>
    </w:p>
    <w:p w14:paraId="760272FE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5</w:t>
      </w:r>
      <w:r>
        <w:rPr>
          <w:rFonts w:hint="eastAsia"/>
          <w:b/>
          <w:bCs/>
          <w:color w:val="FF0000"/>
          <w:lang w:val="en-US" w:eastAsia="zh-CN"/>
        </w:rPr>
        <w:t>2</w:t>
      </w:r>
      <w:r>
        <w:rPr>
          <w:rFonts w:hint="eastAsia"/>
          <w:b/>
          <w:bCs/>
          <w:color w:val="FF0000"/>
        </w:rPr>
        <w:t xml:space="preserve">. Microbiol Spectr. 2026 Oct 6:e0091526. doi: 10.1128/spectrum.00915-26. Online </w:t>
      </w:r>
    </w:p>
    <w:p w14:paraId="5753EDC0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ahead of print.</w:t>
      </w:r>
    </w:p>
    <w:p w14:paraId="035FF247">
      <w:pPr>
        <w:pStyle w:val="2"/>
        <w:rPr>
          <w:rFonts w:hint="eastAsia"/>
        </w:rPr>
      </w:pPr>
    </w:p>
    <w:p w14:paraId="661A8873">
      <w:pPr>
        <w:pStyle w:val="2"/>
        <w:rPr>
          <w:rFonts w:hint="eastAsia"/>
        </w:rPr>
      </w:pPr>
      <w:r>
        <w:rPr>
          <w:rFonts w:hint="eastAsia"/>
        </w:rPr>
        <w:t xml:space="preserve">Deletion of ppe27 in Mycobacterium bovis BCG augments macrophage immune </w:t>
      </w:r>
    </w:p>
    <w:p w14:paraId="0C04D804">
      <w:pPr>
        <w:pStyle w:val="2"/>
        <w:rPr>
          <w:rFonts w:hint="eastAsia"/>
        </w:rPr>
      </w:pPr>
      <w:r>
        <w:rPr>
          <w:rFonts w:hint="eastAsia"/>
        </w:rPr>
        <w:t>responses during infection.</w:t>
      </w:r>
    </w:p>
    <w:p w14:paraId="79238271">
      <w:pPr>
        <w:pStyle w:val="2"/>
        <w:rPr>
          <w:rFonts w:hint="eastAsia"/>
        </w:rPr>
      </w:pPr>
    </w:p>
    <w:p w14:paraId="6DCD851C">
      <w:pPr>
        <w:pStyle w:val="2"/>
        <w:rPr>
          <w:rFonts w:hint="eastAsia"/>
        </w:rPr>
      </w:pPr>
      <w:r>
        <w:rPr>
          <w:rFonts w:hint="eastAsia"/>
        </w:rPr>
        <w:t>Guo T-C(1), Seto S(1), Hijikata M(1), Keicho N(2).</w:t>
      </w:r>
    </w:p>
    <w:p w14:paraId="28CE75C3">
      <w:pPr>
        <w:pStyle w:val="2"/>
        <w:rPr>
          <w:rFonts w:hint="eastAsia"/>
        </w:rPr>
      </w:pPr>
    </w:p>
    <w:p w14:paraId="1C607A79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27249D55">
      <w:pPr>
        <w:pStyle w:val="2"/>
        <w:rPr>
          <w:rFonts w:hint="eastAsia"/>
        </w:rPr>
      </w:pPr>
      <w:r>
        <w:rPr>
          <w:rFonts w:hint="eastAsia"/>
        </w:rPr>
        <w:t xml:space="preserve">(1)Department of Pathophysiology and Host Defense, The Research Institute of </w:t>
      </w:r>
    </w:p>
    <w:p w14:paraId="4BCEF7D7">
      <w:pPr>
        <w:pStyle w:val="2"/>
        <w:rPr>
          <w:rFonts w:hint="eastAsia"/>
        </w:rPr>
      </w:pPr>
      <w:r>
        <w:rPr>
          <w:rFonts w:hint="eastAsia"/>
        </w:rPr>
        <w:t>Tuberculosis, Japan Anti-Tuberculosis Association, Tokyo, Japan.</w:t>
      </w:r>
    </w:p>
    <w:p w14:paraId="75D3AC72">
      <w:pPr>
        <w:pStyle w:val="2"/>
        <w:rPr>
          <w:rFonts w:hint="eastAsia"/>
        </w:rPr>
      </w:pPr>
      <w:r>
        <w:rPr>
          <w:rFonts w:hint="eastAsia"/>
        </w:rPr>
        <w:t xml:space="preserve">(2)The Research Institute of Tuberculosis, Japan Anti-Tuberculosis Association, </w:t>
      </w:r>
    </w:p>
    <w:p w14:paraId="29B0B2CE">
      <w:pPr>
        <w:pStyle w:val="2"/>
        <w:rPr>
          <w:rFonts w:hint="eastAsia"/>
        </w:rPr>
      </w:pPr>
      <w:r>
        <w:rPr>
          <w:rFonts w:hint="eastAsia"/>
        </w:rPr>
        <w:t>Tokyo, Japan.</w:t>
      </w:r>
    </w:p>
    <w:p w14:paraId="413096F6">
      <w:pPr>
        <w:pStyle w:val="2"/>
        <w:rPr>
          <w:rFonts w:hint="eastAsia"/>
        </w:rPr>
      </w:pPr>
    </w:p>
    <w:p w14:paraId="76E1BB9D">
      <w:pPr>
        <w:pStyle w:val="2"/>
        <w:rPr>
          <w:rFonts w:hint="eastAsia"/>
        </w:rPr>
      </w:pPr>
      <w:r>
        <w:rPr>
          <w:rFonts w:hint="eastAsia"/>
        </w:rPr>
        <w:t xml:space="preserve">Mycobacterial infection induces dynamic transcriptional changes in both the host </w:t>
      </w:r>
    </w:p>
    <w:p w14:paraId="318D0ABF">
      <w:pPr>
        <w:pStyle w:val="2"/>
        <w:rPr>
          <w:rFonts w:hint="eastAsia"/>
        </w:rPr>
      </w:pPr>
      <w:r>
        <w:rPr>
          <w:rFonts w:hint="eastAsia"/>
        </w:rPr>
        <w:t xml:space="preserve">and pathogen. In slow-growing mycobacteria, the ESX-5 secretion system plays a </w:t>
      </w:r>
    </w:p>
    <w:p w14:paraId="197820D0">
      <w:pPr>
        <w:pStyle w:val="2"/>
        <w:rPr>
          <w:rFonts w:hint="eastAsia"/>
        </w:rPr>
      </w:pPr>
      <w:r>
        <w:rPr>
          <w:rFonts w:hint="eastAsia"/>
        </w:rPr>
        <w:t xml:space="preserve">crucial role in virulence by exporting Pro-Glu (PE) and Pro-Pro-Glu (PPE) </w:t>
      </w:r>
    </w:p>
    <w:p w14:paraId="63FC9C37">
      <w:pPr>
        <w:pStyle w:val="2"/>
        <w:rPr>
          <w:rFonts w:hint="eastAsia"/>
        </w:rPr>
      </w:pPr>
      <w:r>
        <w:rPr>
          <w:rFonts w:hint="eastAsia"/>
        </w:rPr>
        <w:t xml:space="preserve">proteins, which modulate host immune responses and contribute to pathogenesis. </w:t>
      </w:r>
    </w:p>
    <w:p w14:paraId="24D3A099">
      <w:pPr>
        <w:pStyle w:val="2"/>
        <w:rPr>
          <w:rFonts w:hint="eastAsia"/>
        </w:rPr>
      </w:pPr>
      <w:r>
        <w:rPr>
          <w:rFonts w:hint="eastAsia"/>
        </w:rPr>
        <w:t xml:space="preserve">Previous studies demonstrated that ppe27 overexpression in Mycobacterium </w:t>
      </w:r>
    </w:p>
    <w:p w14:paraId="6175FA73">
      <w:pPr>
        <w:pStyle w:val="2"/>
        <w:rPr>
          <w:rFonts w:hint="eastAsia"/>
        </w:rPr>
      </w:pPr>
      <w:r>
        <w:rPr>
          <w:rFonts w:hint="eastAsia"/>
        </w:rPr>
        <w:t xml:space="preserve">smegmatis enhances bacterial survival and promotes host cell death, suggesting </w:t>
      </w:r>
    </w:p>
    <w:p w14:paraId="74F2AB13">
      <w:pPr>
        <w:pStyle w:val="2"/>
        <w:rPr>
          <w:rFonts w:hint="eastAsia"/>
        </w:rPr>
      </w:pPr>
      <w:r>
        <w:rPr>
          <w:rFonts w:hint="eastAsia"/>
        </w:rPr>
        <w:t xml:space="preserve">that PPE27 plays an important role in resistance to macrophage-induced </w:t>
      </w:r>
    </w:p>
    <w:p w14:paraId="6A340A04">
      <w:pPr>
        <w:pStyle w:val="2"/>
        <w:rPr>
          <w:rFonts w:hint="eastAsia"/>
        </w:rPr>
      </w:pPr>
      <w:r>
        <w:rPr>
          <w:rFonts w:hint="eastAsia"/>
        </w:rPr>
        <w:t xml:space="preserve">cytotoxicity. However, its function during host-pathogen interactions remains </w:t>
      </w:r>
    </w:p>
    <w:p w14:paraId="6FC7CCF8">
      <w:pPr>
        <w:pStyle w:val="2"/>
        <w:rPr>
          <w:rFonts w:hint="eastAsia"/>
        </w:rPr>
      </w:pPr>
      <w:r>
        <w:rPr>
          <w:rFonts w:hint="eastAsia"/>
        </w:rPr>
        <w:t xml:space="preserve">poorly defined. To elucidate the function of PPE27, we generated a ppe27 </w:t>
      </w:r>
    </w:p>
    <w:p w14:paraId="39C00CD1">
      <w:pPr>
        <w:pStyle w:val="2"/>
        <w:rPr>
          <w:rFonts w:hint="eastAsia"/>
        </w:rPr>
      </w:pPr>
      <w:r>
        <w:rPr>
          <w:rFonts w:hint="eastAsia"/>
        </w:rPr>
        <w:t xml:space="preserve">deletion mutant of Mycobacterium bovis Bacillus Calmette-Guérin (BCG∆ppe27) and </w:t>
      </w:r>
    </w:p>
    <w:p w14:paraId="082BDE08">
      <w:pPr>
        <w:pStyle w:val="2"/>
        <w:rPr>
          <w:rFonts w:hint="eastAsia"/>
        </w:rPr>
      </w:pPr>
      <w:r>
        <w:rPr>
          <w:rFonts w:hint="eastAsia"/>
        </w:rPr>
        <w:t xml:space="preserve">performed RNA-seq to simultaneously profile host and bacterial transcriptional </w:t>
      </w:r>
    </w:p>
    <w:p w14:paraId="6D749B43">
      <w:pPr>
        <w:pStyle w:val="2"/>
        <w:rPr>
          <w:rFonts w:hint="eastAsia"/>
        </w:rPr>
      </w:pPr>
      <w:r>
        <w:rPr>
          <w:rFonts w:hint="eastAsia"/>
        </w:rPr>
        <w:t xml:space="preserve">responses during macrophage infection. Host transcriptome analysis revealed that </w:t>
      </w:r>
    </w:p>
    <w:p w14:paraId="10304574">
      <w:pPr>
        <w:pStyle w:val="2"/>
        <w:rPr>
          <w:rFonts w:hint="eastAsia"/>
        </w:rPr>
      </w:pPr>
      <w:r>
        <w:rPr>
          <w:rFonts w:hint="eastAsia"/>
        </w:rPr>
        <w:t xml:space="preserve">ppe27 deletion led to upregulated pro-inflammatory responses, including </w:t>
      </w:r>
    </w:p>
    <w:p w14:paraId="0033158B">
      <w:pPr>
        <w:pStyle w:val="2"/>
        <w:rPr>
          <w:rFonts w:hint="eastAsia"/>
        </w:rPr>
      </w:pPr>
      <w:r>
        <w:rPr>
          <w:rFonts w:hint="eastAsia"/>
        </w:rPr>
        <w:t xml:space="preserve">enhancement of the TNF-α, IFN-α, and IL-6 signaling pathways. In parallel, </w:t>
      </w:r>
    </w:p>
    <w:p w14:paraId="28EC51F2">
      <w:pPr>
        <w:pStyle w:val="2"/>
        <w:rPr>
          <w:rFonts w:hint="eastAsia"/>
        </w:rPr>
      </w:pPr>
      <w:r>
        <w:rPr>
          <w:rFonts w:hint="eastAsia"/>
        </w:rPr>
        <w:t xml:space="preserve">bacterial transcriptome analysis identified downregulation of JTY_3006 in </w:t>
      </w:r>
    </w:p>
    <w:p w14:paraId="70F231F3">
      <w:pPr>
        <w:pStyle w:val="2"/>
        <w:rPr>
          <w:rFonts w:hint="eastAsia"/>
        </w:rPr>
      </w:pPr>
      <w:r>
        <w:rPr>
          <w:rFonts w:hint="eastAsia"/>
        </w:rPr>
        <w:t xml:space="preserve">BCG∆ppe27 during infection compared with its expression in wild-type BCG. Amino </w:t>
      </w:r>
    </w:p>
    <w:p w14:paraId="5496CEC7">
      <w:pPr>
        <w:pStyle w:val="2"/>
        <w:rPr>
          <w:rFonts w:hint="eastAsia"/>
        </w:rPr>
      </w:pPr>
      <w:r>
        <w:rPr>
          <w:rFonts w:hint="eastAsia"/>
        </w:rPr>
        <w:t xml:space="preserve">acid sequence analysis indicated that JTY_3006 shares 100% identity to a </w:t>
      </w:r>
    </w:p>
    <w:p w14:paraId="275460F2">
      <w:pPr>
        <w:pStyle w:val="2"/>
        <w:rPr>
          <w:rFonts w:hint="eastAsia"/>
        </w:rPr>
      </w:pPr>
      <w:r>
        <w:rPr>
          <w:rFonts w:hint="eastAsia"/>
        </w:rPr>
        <w:t xml:space="preserve">S-adenosylmethionine (SAM)-dependent methyltransferase conserved among </w:t>
      </w:r>
    </w:p>
    <w:p w14:paraId="6BBFF060">
      <w:pPr>
        <w:pStyle w:val="2"/>
        <w:rPr>
          <w:rFonts w:hint="eastAsia"/>
        </w:rPr>
      </w:pPr>
      <w:r>
        <w:rPr>
          <w:rFonts w:hint="eastAsia"/>
        </w:rPr>
        <w:t xml:space="preserve">mycobacterial species. Taken together, these findings suggest that PPE27 may </w:t>
      </w:r>
    </w:p>
    <w:p w14:paraId="78BDC6B1">
      <w:pPr>
        <w:pStyle w:val="2"/>
        <w:rPr>
          <w:rFonts w:hint="eastAsia"/>
        </w:rPr>
      </w:pPr>
      <w:r>
        <w:rPr>
          <w:rFonts w:hint="eastAsia"/>
        </w:rPr>
        <w:t xml:space="preserve">contribute to the negative modulation of host inflammatory responses and suggest </w:t>
      </w:r>
    </w:p>
    <w:p w14:paraId="1B3F5DF4">
      <w:pPr>
        <w:pStyle w:val="2"/>
        <w:rPr>
          <w:rFonts w:hint="eastAsia"/>
        </w:rPr>
      </w:pPr>
      <w:r>
        <w:rPr>
          <w:rFonts w:hint="eastAsia"/>
        </w:rPr>
        <w:t xml:space="preserve">that manipulation of PPE27 might reshape pathogenicity and inform future vaccine </w:t>
      </w:r>
    </w:p>
    <w:p w14:paraId="426AE46E">
      <w:pPr>
        <w:pStyle w:val="2"/>
        <w:rPr>
          <w:rFonts w:hint="eastAsia"/>
        </w:rPr>
      </w:pPr>
      <w:r>
        <w:rPr>
          <w:rFonts w:hint="eastAsia"/>
        </w:rPr>
        <w:t xml:space="preserve">strategies.IMPORTANCETuberculosis remains the leading cause of death from a </w:t>
      </w:r>
    </w:p>
    <w:p w14:paraId="06A8AB01">
      <w:pPr>
        <w:pStyle w:val="2"/>
        <w:rPr>
          <w:rFonts w:hint="eastAsia"/>
        </w:rPr>
      </w:pPr>
      <w:r>
        <w:rPr>
          <w:rFonts w:hint="eastAsia"/>
        </w:rPr>
        <w:t xml:space="preserve">single infectious agent worldwide. Understanding the mechanisms that allow </w:t>
      </w:r>
    </w:p>
    <w:p w14:paraId="2994E9BD">
      <w:pPr>
        <w:pStyle w:val="2"/>
        <w:rPr>
          <w:rFonts w:hint="eastAsia"/>
        </w:rPr>
      </w:pPr>
      <w:r>
        <w:rPr>
          <w:rFonts w:hint="eastAsia"/>
        </w:rPr>
        <w:t xml:space="preserve">Mycobacterium tuberculosis to evade host defenses is essential for developing </w:t>
      </w:r>
    </w:p>
    <w:p w14:paraId="046665B4">
      <w:pPr>
        <w:pStyle w:val="2"/>
        <w:rPr>
          <w:rFonts w:hint="eastAsia"/>
        </w:rPr>
      </w:pPr>
      <w:r>
        <w:rPr>
          <w:rFonts w:hint="eastAsia"/>
        </w:rPr>
        <w:t xml:space="preserve">better vaccines, therapeutics, and prevention strategies. This study focuses on </w:t>
      </w:r>
    </w:p>
    <w:p w14:paraId="003DBCAC">
      <w:pPr>
        <w:pStyle w:val="2"/>
        <w:rPr>
          <w:rFonts w:hint="eastAsia"/>
        </w:rPr>
      </w:pPr>
      <w:r>
        <w:rPr>
          <w:rFonts w:hint="eastAsia"/>
        </w:rPr>
        <w:t xml:space="preserve">PPE27, a member of the PE/PPE protein family secreted through the ESX-5 </w:t>
      </w:r>
    </w:p>
    <w:p w14:paraId="7738782B">
      <w:pPr>
        <w:pStyle w:val="2"/>
        <w:rPr>
          <w:rFonts w:hint="eastAsia"/>
        </w:rPr>
      </w:pPr>
      <w:r>
        <w:rPr>
          <w:rFonts w:hint="eastAsia"/>
        </w:rPr>
        <w:t xml:space="preserve">secretion system. Although PE/PPE proteins are known to trigger strong immune </w:t>
      </w:r>
    </w:p>
    <w:p w14:paraId="37061174">
      <w:pPr>
        <w:pStyle w:val="2"/>
        <w:rPr>
          <w:rFonts w:hint="eastAsia"/>
        </w:rPr>
      </w:pPr>
      <w:r>
        <w:rPr>
          <w:rFonts w:hint="eastAsia"/>
        </w:rPr>
        <w:t xml:space="preserve">responses, their precise role in pathogenesis has been unclear. Our study </w:t>
      </w:r>
    </w:p>
    <w:p w14:paraId="0D7D4262">
      <w:pPr>
        <w:pStyle w:val="2"/>
        <w:rPr>
          <w:rFonts w:hint="eastAsia"/>
        </w:rPr>
      </w:pPr>
      <w:r>
        <w:rPr>
          <w:rFonts w:hint="eastAsia"/>
        </w:rPr>
        <w:t xml:space="preserve">reveals that ppe27 deletion is associated with enhanced macrophage inflammatory </w:t>
      </w:r>
    </w:p>
    <w:p w14:paraId="7FBF85E6">
      <w:pPr>
        <w:pStyle w:val="2"/>
        <w:rPr>
          <w:rFonts w:hint="eastAsia"/>
        </w:rPr>
      </w:pPr>
      <w:r>
        <w:rPr>
          <w:rFonts w:hint="eastAsia"/>
        </w:rPr>
        <w:t xml:space="preserve">responses. Understanding this mechanism provides valuable insight into </w:t>
      </w:r>
    </w:p>
    <w:p w14:paraId="1B78D307">
      <w:pPr>
        <w:pStyle w:val="2"/>
        <w:rPr>
          <w:rFonts w:hint="eastAsia"/>
        </w:rPr>
      </w:pPr>
      <w:r>
        <w:rPr>
          <w:rFonts w:hint="eastAsia"/>
        </w:rPr>
        <w:t xml:space="preserve">host-pathogen interactions and offers new directions for tuberculosis vaccine </w:t>
      </w:r>
    </w:p>
    <w:p w14:paraId="7DF2A2B0">
      <w:pPr>
        <w:pStyle w:val="2"/>
        <w:rPr>
          <w:rFonts w:hint="eastAsia"/>
        </w:rPr>
      </w:pPr>
      <w:r>
        <w:rPr>
          <w:rFonts w:hint="eastAsia"/>
        </w:rPr>
        <w:t>and therapeutic development.</w:t>
      </w:r>
    </w:p>
    <w:p w14:paraId="326C1C97">
      <w:pPr>
        <w:pStyle w:val="2"/>
        <w:rPr>
          <w:rFonts w:hint="eastAsia"/>
        </w:rPr>
      </w:pPr>
    </w:p>
    <w:p w14:paraId="62376DE6">
      <w:pPr>
        <w:pStyle w:val="2"/>
        <w:rPr>
          <w:rFonts w:hint="eastAsia"/>
        </w:rPr>
      </w:pPr>
      <w:r>
        <w:rPr>
          <w:rFonts w:hint="eastAsia"/>
        </w:rPr>
        <w:t>DOI: 10.1128/spectrum.00915-26</w:t>
      </w:r>
    </w:p>
    <w:p w14:paraId="45C7490F">
      <w:pPr>
        <w:pStyle w:val="2"/>
        <w:rPr>
          <w:rFonts w:hint="eastAsia"/>
        </w:rPr>
      </w:pPr>
      <w:r>
        <w:rPr>
          <w:rFonts w:hint="eastAsia"/>
        </w:rPr>
        <w:t>PMID: 42836644</w:t>
      </w:r>
    </w:p>
    <w:p w14:paraId="187F3827">
      <w:pPr>
        <w:pStyle w:val="2"/>
        <w:rPr>
          <w:rFonts w:hint="eastAsia"/>
        </w:rPr>
      </w:pPr>
    </w:p>
    <w:p w14:paraId="31C52163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5</w:t>
      </w:r>
      <w:r>
        <w:rPr>
          <w:rFonts w:hint="eastAsia"/>
          <w:b/>
          <w:bCs/>
          <w:color w:val="FF0000"/>
          <w:lang w:val="en-US" w:eastAsia="zh-CN"/>
        </w:rPr>
        <w:t>3</w:t>
      </w:r>
      <w:r>
        <w:rPr>
          <w:rFonts w:hint="eastAsia"/>
          <w:b/>
          <w:bCs/>
          <w:color w:val="FF0000"/>
        </w:rPr>
        <w:t>. J Cutan Pathol. 2026 Oct 5. doi: 10.1111/cup.70231. Online ahead of print.</w:t>
      </w:r>
    </w:p>
    <w:p w14:paraId="5B91C30B">
      <w:pPr>
        <w:pStyle w:val="2"/>
        <w:rPr>
          <w:rFonts w:hint="eastAsia"/>
        </w:rPr>
      </w:pPr>
    </w:p>
    <w:p w14:paraId="3AC0DE1A">
      <w:pPr>
        <w:pStyle w:val="2"/>
        <w:rPr>
          <w:rFonts w:hint="eastAsia"/>
        </w:rPr>
      </w:pPr>
      <w:r>
        <w:rPr>
          <w:rFonts w:hint="eastAsia"/>
        </w:rPr>
        <w:t xml:space="preserve">Cross-Reactivity of Treponema pallidum Polyclonal Antibody With Mycobacterium </w:t>
      </w:r>
    </w:p>
    <w:p w14:paraId="0ADB2B39">
      <w:pPr>
        <w:pStyle w:val="2"/>
        <w:rPr>
          <w:rFonts w:hint="eastAsia"/>
        </w:rPr>
      </w:pPr>
      <w:r>
        <w:rPr>
          <w:rFonts w:hint="eastAsia"/>
        </w:rPr>
        <w:t>Species.</w:t>
      </w:r>
    </w:p>
    <w:p w14:paraId="21B2056A">
      <w:pPr>
        <w:pStyle w:val="2"/>
        <w:rPr>
          <w:rFonts w:hint="eastAsia"/>
        </w:rPr>
      </w:pPr>
    </w:p>
    <w:p w14:paraId="2D714B74">
      <w:pPr>
        <w:pStyle w:val="2"/>
        <w:rPr>
          <w:rFonts w:hint="eastAsia"/>
        </w:rPr>
      </w:pPr>
      <w:r>
        <w:rPr>
          <w:rFonts w:hint="eastAsia"/>
        </w:rPr>
        <w:t xml:space="preserve">Zaladonis AG(1), Waseh S(1), Ali F(2), Huang S(3), Hyde JT(1), Tuluc M(2), Lee </w:t>
      </w:r>
    </w:p>
    <w:p w14:paraId="14456404">
      <w:pPr>
        <w:pStyle w:val="2"/>
        <w:rPr>
          <w:rFonts w:hint="eastAsia"/>
        </w:rPr>
      </w:pPr>
      <w:r>
        <w:rPr>
          <w:rFonts w:hint="eastAsia"/>
        </w:rPr>
        <w:t>JB(1).</w:t>
      </w:r>
    </w:p>
    <w:p w14:paraId="76D81061">
      <w:pPr>
        <w:pStyle w:val="2"/>
        <w:rPr>
          <w:rFonts w:hint="eastAsia"/>
        </w:rPr>
      </w:pPr>
    </w:p>
    <w:p w14:paraId="776B21B0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6216B14A">
      <w:pPr>
        <w:pStyle w:val="2"/>
        <w:rPr>
          <w:rFonts w:hint="eastAsia"/>
        </w:rPr>
      </w:pPr>
      <w:r>
        <w:rPr>
          <w:rFonts w:hint="eastAsia"/>
        </w:rPr>
        <w:t xml:space="preserve">(1)Department of Dermatology and Cutaneous Biology, Thomas Jefferson University, </w:t>
      </w:r>
    </w:p>
    <w:p w14:paraId="6DA05EC4">
      <w:pPr>
        <w:pStyle w:val="2"/>
        <w:rPr>
          <w:rFonts w:hint="eastAsia"/>
        </w:rPr>
      </w:pPr>
      <w:r>
        <w:rPr>
          <w:rFonts w:hint="eastAsia"/>
        </w:rPr>
        <w:t>Philadelphia, Pennsylvania, USA.</w:t>
      </w:r>
    </w:p>
    <w:p w14:paraId="57DBDC47">
      <w:pPr>
        <w:pStyle w:val="2"/>
        <w:rPr>
          <w:rFonts w:hint="eastAsia"/>
        </w:rPr>
      </w:pPr>
      <w:r>
        <w:rPr>
          <w:rFonts w:hint="eastAsia"/>
        </w:rPr>
        <w:t xml:space="preserve">(2)Department of Pathology and Genomic Medicine, Thomas Jefferson University, </w:t>
      </w:r>
    </w:p>
    <w:p w14:paraId="4932CEBB">
      <w:pPr>
        <w:pStyle w:val="2"/>
        <w:rPr>
          <w:rFonts w:hint="eastAsia"/>
        </w:rPr>
      </w:pPr>
      <w:r>
        <w:rPr>
          <w:rFonts w:hint="eastAsia"/>
        </w:rPr>
        <w:t>Philadelphia, Pennsylvania, USA.</w:t>
      </w:r>
    </w:p>
    <w:p w14:paraId="76CBAEFC">
      <w:pPr>
        <w:pStyle w:val="2"/>
        <w:rPr>
          <w:rFonts w:hint="eastAsia"/>
        </w:rPr>
      </w:pPr>
      <w:r>
        <w:rPr>
          <w:rFonts w:hint="eastAsia"/>
        </w:rPr>
        <w:t>(3)DermSurgery Associates, Bellaire, Texas, USA.</w:t>
      </w:r>
    </w:p>
    <w:p w14:paraId="77BA085C">
      <w:pPr>
        <w:pStyle w:val="2"/>
        <w:rPr>
          <w:rFonts w:hint="eastAsia"/>
        </w:rPr>
      </w:pPr>
    </w:p>
    <w:p w14:paraId="49E7385B">
      <w:pPr>
        <w:pStyle w:val="2"/>
        <w:rPr>
          <w:rFonts w:hint="eastAsia"/>
        </w:rPr>
      </w:pPr>
      <w:r>
        <w:rPr>
          <w:rFonts w:hint="eastAsia"/>
          <w:b/>
          <w:bCs/>
        </w:rPr>
        <w:t>INTRODUCTION:</w:t>
      </w:r>
      <w:r>
        <w:rPr>
          <w:rFonts w:hint="eastAsia"/>
        </w:rPr>
        <w:t xml:space="preserve"> Mycobacteria are typically identified using the acid-fast staining </w:t>
      </w:r>
    </w:p>
    <w:p w14:paraId="26CF6C3F">
      <w:pPr>
        <w:pStyle w:val="2"/>
        <w:rPr>
          <w:rFonts w:hint="eastAsia"/>
        </w:rPr>
      </w:pPr>
      <w:r>
        <w:rPr>
          <w:rFonts w:hint="eastAsia"/>
        </w:rPr>
        <w:t xml:space="preserve">technique. Prior reports have observed cross-reactivity of Treponema pallidum </w:t>
      </w:r>
    </w:p>
    <w:p w14:paraId="7EEF7611">
      <w:pPr>
        <w:pStyle w:val="2"/>
        <w:rPr>
          <w:rFonts w:hint="eastAsia"/>
        </w:rPr>
      </w:pPr>
      <w:r>
        <w:rPr>
          <w:rFonts w:hint="eastAsia"/>
        </w:rPr>
        <w:t xml:space="preserve">immunohistochemistry (IHC) with Mycobacterium species, particularly </w:t>
      </w:r>
    </w:p>
    <w:p w14:paraId="3D2802F4">
      <w:pPr>
        <w:pStyle w:val="2"/>
        <w:rPr>
          <w:rFonts w:hint="eastAsia"/>
        </w:rPr>
      </w:pPr>
      <w:r>
        <w:rPr>
          <w:rFonts w:hint="eastAsia"/>
        </w:rPr>
        <w:t xml:space="preserve">Mycobacterium leprae. Further characterization of this cross-reactivity is </w:t>
      </w:r>
    </w:p>
    <w:p w14:paraId="3EEECC46">
      <w:pPr>
        <w:pStyle w:val="2"/>
        <w:rPr>
          <w:rFonts w:hint="eastAsia"/>
        </w:rPr>
      </w:pPr>
      <w:r>
        <w:rPr>
          <w:rFonts w:hint="eastAsia"/>
        </w:rPr>
        <w:t xml:space="preserve">needed across a broader range of Mycobacterium species, including its extent, </w:t>
      </w:r>
    </w:p>
    <w:p w14:paraId="7254AEDF">
      <w:pPr>
        <w:pStyle w:val="2"/>
        <w:rPr>
          <w:rFonts w:hint="eastAsia"/>
        </w:rPr>
      </w:pPr>
      <w:r>
        <w:rPr>
          <w:rFonts w:hint="eastAsia"/>
        </w:rPr>
        <w:t>strength, and quality.</w:t>
      </w:r>
    </w:p>
    <w:p w14:paraId="726D7C6C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MATERIALS AND METHODS: </w:t>
      </w:r>
      <w:r>
        <w:rPr>
          <w:rFonts w:hint="eastAsia"/>
        </w:rPr>
        <w:t xml:space="preserve">A retrospective review was conducted to identify all </w:t>
      </w:r>
    </w:p>
    <w:p w14:paraId="6429D988">
      <w:pPr>
        <w:pStyle w:val="2"/>
        <w:rPr>
          <w:rFonts w:hint="eastAsia"/>
        </w:rPr>
      </w:pPr>
      <w:r>
        <w:rPr>
          <w:rFonts w:hint="eastAsia"/>
        </w:rPr>
        <w:t xml:space="preserve">cases of mycobacterial infection at a single institution. Cases with available </w:t>
      </w:r>
    </w:p>
    <w:p w14:paraId="27CAB946">
      <w:pPr>
        <w:pStyle w:val="2"/>
        <w:rPr>
          <w:rFonts w:hint="eastAsia"/>
        </w:rPr>
      </w:pPr>
      <w:r>
        <w:rPr>
          <w:rFonts w:hint="eastAsia"/>
        </w:rPr>
        <w:t xml:space="preserve">histopathologic slides were included. Cases in which mycobacteria were not </w:t>
      </w:r>
    </w:p>
    <w:p w14:paraId="35E8D3F4">
      <w:pPr>
        <w:pStyle w:val="2"/>
        <w:rPr>
          <w:rFonts w:hint="eastAsia"/>
        </w:rPr>
      </w:pPr>
      <w:r>
        <w:rPr>
          <w:rFonts w:hint="eastAsia"/>
        </w:rPr>
        <w:t xml:space="preserve">identified on histologic examination were excluded. T. pallidum IHC was </w:t>
      </w:r>
    </w:p>
    <w:p w14:paraId="6813AAA9">
      <w:pPr>
        <w:pStyle w:val="2"/>
        <w:rPr>
          <w:rFonts w:hint="eastAsia"/>
        </w:rPr>
      </w:pPr>
      <w:r>
        <w:rPr>
          <w:rFonts w:hint="eastAsia"/>
        </w:rPr>
        <w:t xml:space="preserve">performed for each case that met inclusion criteria, and staining patterns were </w:t>
      </w:r>
    </w:p>
    <w:p w14:paraId="05756FF3">
      <w:pPr>
        <w:pStyle w:val="2"/>
        <w:rPr>
          <w:rFonts w:hint="eastAsia"/>
        </w:rPr>
      </w:pPr>
      <w:r>
        <w:rPr>
          <w:rFonts w:hint="eastAsia"/>
        </w:rPr>
        <w:t>recorded.</w:t>
      </w:r>
    </w:p>
    <w:p w14:paraId="59E133B4">
      <w:pPr>
        <w:pStyle w:val="2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Of the 55 cases of mycobacterial infection identified, a total of 19 </w:t>
      </w:r>
    </w:p>
    <w:p w14:paraId="67C4FC3A">
      <w:pPr>
        <w:pStyle w:val="2"/>
        <w:rPr>
          <w:rFonts w:hint="eastAsia"/>
        </w:rPr>
      </w:pPr>
      <w:r>
        <w:rPr>
          <w:rFonts w:hint="eastAsia"/>
        </w:rPr>
        <w:t xml:space="preserve">cases met the inclusion criteria: 10 cases of M. leprae, 6 cases of M. chelonae, </w:t>
      </w:r>
    </w:p>
    <w:p w14:paraId="636E3DE7">
      <w:pPr>
        <w:pStyle w:val="2"/>
        <w:rPr>
          <w:rFonts w:hint="eastAsia"/>
        </w:rPr>
      </w:pPr>
      <w:r>
        <w:rPr>
          <w:rFonts w:hint="eastAsia"/>
        </w:rPr>
        <w:t xml:space="preserve">2 cases of M. tuberculosis, and 1 case of M. avium. IHC for T. pallidum showed </w:t>
      </w:r>
    </w:p>
    <w:p w14:paraId="5D4060A2">
      <w:pPr>
        <w:pStyle w:val="2"/>
        <w:rPr>
          <w:rFonts w:hint="eastAsia"/>
        </w:rPr>
      </w:pPr>
      <w:r>
        <w:rPr>
          <w:rFonts w:hint="eastAsia"/>
        </w:rPr>
        <w:t xml:space="preserve">cross-reactivity in all 10 M. leprae cases (100%), 3 of 6 M. chelonae cases </w:t>
      </w:r>
    </w:p>
    <w:p w14:paraId="0B21D01D">
      <w:pPr>
        <w:pStyle w:val="2"/>
        <w:rPr>
          <w:rFonts w:hint="eastAsia"/>
        </w:rPr>
      </w:pPr>
      <w:r>
        <w:rPr>
          <w:rFonts w:hint="eastAsia"/>
        </w:rPr>
        <w:t xml:space="preserve">(50%), 1 of 2 M. tuberculosis cases (50%), and no staining in the single M. </w:t>
      </w:r>
    </w:p>
    <w:p w14:paraId="2E1FE834">
      <w:pPr>
        <w:pStyle w:val="2"/>
        <w:rPr>
          <w:rFonts w:hint="eastAsia"/>
        </w:rPr>
      </w:pPr>
      <w:r>
        <w:rPr>
          <w:rFonts w:hint="eastAsia"/>
        </w:rPr>
        <w:t xml:space="preserve">avium case. Cases of M. leprae and M. chelonae showed a consistent strong </w:t>
      </w:r>
    </w:p>
    <w:p w14:paraId="59E8B80D">
      <w:pPr>
        <w:pStyle w:val="2"/>
        <w:rPr>
          <w:rFonts w:hint="eastAsia"/>
        </w:rPr>
      </w:pPr>
      <w:r>
        <w:rPr>
          <w:rFonts w:hint="eastAsia"/>
        </w:rPr>
        <w:t>granular and clumped staining pattern.</w:t>
      </w:r>
    </w:p>
    <w:p w14:paraId="6B97C9F2">
      <w:pPr>
        <w:pStyle w:val="2"/>
        <w:rPr>
          <w:rFonts w:hint="eastAsia"/>
        </w:rPr>
      </w:pPr>
      <w:r>
        <w:rPr>
          <w:rFonts w:hint="eastAsia"/>
          <w:b/>
          <w:bCs/>
        </w:rPr>
        <w:t>CONCLUSIONS:</w:t>
      </w:r>
      <w:r>
        <w:rPr>
          <w:rFonts w:hint="eastAsia"/>
        </w:rPr>
        <w:t xml:space="preserve"> This study demonstrates that T. pallidum IHC can highlight diverse </w:t>
      </w:r>
    </w:p>
    <w:p w14:paraId="2F4DC247">
      <w:pPr>
        <w:pStyle w:val="2"/>
        <w:rPr>
          <w:rFonts w:hint="eastAsia"/>
        </w:rPr>
      </w:pPr>
      <w:r>
        <w:rPr>
          <w:rFonts w:hint="eastAsia"/>
        </w:rPr>
        <w:t xml:space="preserve">Mycobacterium species, a cross-reactivity that pathologists should recognize to </w:t>
      </w:r>
    </w:p>
    <w:p w14:paraId="3451D550">
      <w:pPr>
        <w:pStyle w:val="2"/>
        <w:rPr>
          <w:rFonts w:hint="eastAsia"/>
        </w:rPr>
      </w:pPr>
      <w:r>
        <w:rPr>
          <w:rFonts w:hint="eastAsia"/>
        </w:rPr>
        <w:t xml:space="preserve">avoid false-positive interpretations. In the appropriate clinical context, this </w:t>
      </w:r>
    </w:p>
    <w:p w14:paraId="0C1E2645">
      <w:pPr>
        <w:pStyle w:val="2"/>
        <w:rPr>
          <w:rFonts w:hint="eastAsia"/>
        </w:rPr>
      </w:pPr>
      <w:r>
        <w:rPr>
          <w:rFonts w:hint="eastAsia"/>
        </w:rPr>
        <w:t xml:space="preserve">cross-reactivity may be utilized to further support the diagnosis of leprosy, </w:t>
      </w:r>
    </w:p>
    <w:p w14:paraId="02426E08">
      <w:pPr>
        <w:pStyle w:val="2"/>
        <w:rPr>
          <w:rFonts w:hint="eastAsia"/>
        </w:rPr>
      </w:pPr>
      <w:r>
        <w:rPr>
          <w:rFonts w:hint="eastAsia"/>
        </w:rPr>
        <w:t>given the consistently strong staining observed with M. leprae.</w:t>
      </w:r>
    </w:p>
    <w:p w14:paraId="0023AC75">
      <w:pPr>
        <w:pStyle w:val="2"/>
        <w:rPr>
          <w:rFonts w:hint="eastAsia"/>
        </w:rPr>
      </w:pPr>
    </w:p>
    <w:p w14:paraId="43BC08BC">
      <w:pPr>
        <w:pStyle w:val="2"/>
        <w:rPr>
          <w:rFonts w:hint="eastAsia"/>
        </w:rPr>
      </w:pPr>
      <w:r>
        <w:rPr>
          <w:rFonts w:hint="eastAsia"/>
        </w:rPr>
        <w:t xml:space="preserve">© 2026 The Author(s). Journal of Cutaneous Pathology published by John Wiley &amp; </w:t>
      </w:r>
    </w:p>
    <w:p w14:paraId="365E8D54">
      <w:pPr>
        <w:pStyle w:val="2"/>
        <w:rPr>
          <w:rFonts w:hint="eastAsia"/>
        </w:rPr>
      </w:pPr>
      <w:r>
        <w:rPr>
          <w:rFonts w:hint="eastAsia"/>
        </w:rPr>
        <w:t>Sons Ltd.</w:t>
      </w:r>
    </w:p>
    <w:p w14:paraId="79DC8624">
      <w:pPr>
        <w:pStyle w:val="2"/>
        <w:rPr>
          <w:rFonts w:hint="eastAsia"/>
        </w:rPr>
      </w:pPr>
    </w:p>
    <w:p w14:paraId="15159587">
      <w:pPr>
        <w:pStyle w:val="2"/>
        <w:rPr>
          <w:rFonts w:hint="eastAsia"/>
        </w:rPr>
      </w:pPr>
      <w:r>
        <w:rPr>
          <w:rFonts w:hint="eastAsia"/>
        </w:rPr>
        <w:t>DOI: 10.1111/cup.70231</w:t>
      </w:r>
    </w:p>
    <w:p w14:paraId="30F58290">
      <w:pPr>
        <w:pStyle w:val="2"/>
        <w:rPr>
          <w:rFonts w:hint="eastAsia"/>
        </w:rPr>
      </w:pPr>
      <w:r>
        <w:rPr>
          <w:rFonts w:hint="eastAsia"/>
        </w:rPr>
        <w:t>PMID: 42834457</w:t>
      </w:r>
    </w:p>
    <w:p w14:paraId="0F65F46C">
      <w:pPr>
        <w:pStyle w:val="2"/>
        <w:rPr>
          <w:rFonts w:hint="eastAsia"/>
        </w:rPr>
      </w:pPr>
    </w:p>
    <w:p w14:paraId="4A66A916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54</w:t>
      </w:r>
      <w:r>
        <w:rPr>
          <w:rFonts w:hint="eastAsia"/>
          <w:b/>
          <w:bCs/>
          <w:color w:val="FF0000"/>
        </w:rPr>
        <w:t>. Med Mycol. 2026 Oct 5:myag108. doi: 10.1093/mmy/myag108. Online ahead of print.</w:t>
      </w:r>
    </w:p>
    <w:p w14:paraId="2983D126">
      <w:pPr>
        <w:pStyle w:val="2"/>
        <w:rPr>
          <w:rFonts w:hint="eastAsia"/>
        </w:rPr>
      </w:pPr>
    </w:p>
    <w:p w14:paraId="1F4BDB24">
      <w:pPr>
        <w:pStyle w:val="2"/>
        <w:rPr>
          <w:rFonts w:hint="eastAsia"/>
        </w:rPr>
      </w:pPr>
      <w:r>
        <w:rPr>
          <w:rFonts w:hint="eastAsia"/>
        </w:rPr>
        <w:t xml:space="preserve">Evaluation of a multiplex qPCR assay for rapid diagnosis of fungal pneumonia and </w:t>
      </w:r>
    </w:p>
    <w:p w14:paraId="671D3B2B">
      <w:pPr>
        <w:pStyle w:val="2"/>
        <w:rPr>
          <w:rFonts w:hint="eastAsia"/>
        </w:rPr>
      </w:pPr>
      <w:r>
        <w:rPr>
          <w:rFonts w:hint="eastAsia"/>
        </w:rPr>
        <w:t>tuberculosis in people with advanced HIV disease.</w:t>
      </w:r>
    </w:p>
    <w:p w14:paraId="073E67E8">
      <w:pPr>
        <w:pStyle w:val="2"/>
        <w:rPr>
          <w:rFonts w:hint="eastAsia"/>
        </w:rPr>
      </w:pPr>
    </w:p>
    <w:p w14:paraId="69AE3B8B">
      <w:pPr>
        <w:pStyle w:val="2"/>
        <w:rPr>
          <w:rFonts w:hint="eastAsia"/>
        </w:rPr>
      </w:pPr>
      <w:r>
        <w:rPr>
          <w:rFonts w:hint="eastAsia"/>
        </w:rPr>
        <w:t xml:space="preserve">de Moura da Costa TB(1), Theodoro PHN(2), de Melo Neto JH(2), Almeida-Silva </w:t>
      </w:r>
    </w:p>
    <w:p w14:paraId="044E1E9D">
      <w:pPr>
        <w:pStyle w:val="2"/>
        <w:rPr>
          <w:rFonts w:hint="eastAsia"/>
        </w:rPr>
      </w:pPr>
      <w:r>
        <w:rPr>
          <w:rFonts w:hint="eastAsia"/>
        </w:rPr>
        <w:t xml:space="preserve">F(1), Lourenço MC(3), Almeida-Paes R(1), Freitas AD(1), Veloso VG(4), Cardoso </w:t>
      </w:r>
    </w:p>
    <w:p w14:paraId="212AF7B4">
      <w:pPr>
        <w:pStyle w:val="2"/>
        <w:rPr>
          <w:rFonts w:hint="eastAsia"/>
        </w:rPr>
      </w:pPr>
      <w:r>
        <w:rPr>
          <w:rFonts w:hint="eastAsia"/>
        </w:rPr>
        <w:t xml:space="preserve">SW(4), Buitrago MJ(5)(6), de Souza Borges Quintana M(7), Perez F(8)(9), </w:t>
      </w:r>
    </w:p>
    <w:p w14:paraId="59D6DAE6">
      <w:pPr>
        <w:pStyle w:val="2"/>
        <w:rPr>
          <w:rFonts w:hint="eastAsia"/>
        </w:rPr>
      </w:pPr>
      <w:r>
        <w:rPr>
          <w:rFonts w:hint="eastAsia"/>
        </w:rPr>
        <w:t>Zancopé-Oliveira RM(1).</w:t>
      </w:r>
    </w:p>
    <w:p w14:paraId="066D8B5D">
      <w:pPr>
        <w:pStyle w:val="2"/>
        <w:rPr>
          <w:rFonts w:hint="eastAsia"/>
        </w:rPr>
      </w:pPr>
    </w:p>
    <w:p w14:paraId="46D537F0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4FA62203">
      <w:pPr>
        <w:pStyle w:val="2"/>
        <w:rPr>
          <w:rFonts w:hint="eastAsia"/>
        </w:rPr>
      </w:pPr>
      <w:r>
        <w:rPr>
          <w:rFonts w:hint="eastAsia"/>
        </w:rPr>
        <w:t xml:space="preserve">(1)Fundação Oswaldo Cruz, Instituto Nacional de Infectologia Evandro Chagas, </w:t>
      </w:r>
    </w:p>
    <w:p w14:paraId="1AE6A3BF">
      <w:pPr>
        <w:pStyle w:val="2"/>
        <w:rPr>
          <w:rFonts w:hint="eastAsia"/>
        </w:rPr>
      </w:pPr>
      <w:r>
        <w:rPr>
          <w:rFonts w:hint="eastAsia"/>
        </w:rPr>
        <w:t>laboratório de Micologia, Rio de Janeiro, RJ, Brazil.</w:t>
      </w:r>
    </w:p>
    <w:p w14:paraId="44E0146B">
      <w:pPr>
        <w:pStyle w:val="2"/>
        <w:rPr>
          <w:rFonts w:hint="eastAsia"/>
        </w:rPr>
      </w:pPr>
      <w:r>
        <w:rPr>
          <w:rFonts w:hint="eastAsia"/>
        </w:rPr>
        <w:t xml:space="preserve">(2)Fundação Oswaldo Cruz, Instituto Nacional de Infectologia Evandro Chagas, </w:t>
      </w:r>
    </w:p>
    <w:p w14:paraId="0D784F10">
      <w:pPr>
        <w:pStyle w:val="2"/>
        <w:rPr>
          <w:rFonts w:hint="eastAsia"/>
        </w:rPr>
      </w:pPr>
      <w:r>
        <w:rPr>
          <w:rFonts w:hint="eastAsia"/>
        </w:rPr>
        <w:t>Centro Hospitalar, Rio de Janeiro, RJ, Brazil.</w:t>
      </w:r>
    </w:p>
    <w:p w14:paraId="72C537E2">
      <w:pPr>
        <w:pStyle w:val="2"/>
        <w:rPr>
          <w:rFonts w:hint="eastAsia"/>
        </w:rPr>
      </w:pPr>
      <w:r>
        <w:rPr>
          <w:rFonts w:hint="eastAsia"/>
        </w:rPr>
        <w:t xml:space="preserve">(3)Fundação Oswaldo Cruz, Instituto Nacional de Infectologia Evandro Chagas, </w:t>
      </w:r>
    </w:p>
    <w:p w14:paraId="08126FC2">
      <w:pPr>
        <w:pStyle w:val="2"/>
        <w:rPr>
          <w:rFonts w:hint="eastAsia"/>
        </w:rPr>
      </w:pPr>
      <w:r>
        <w:rPr>
          <w:rFonts w:hint="eastAsia"/>
        </w:rPr>
        <w:t xml:space="preserve">Laboratório de Bacteriologia e Bioensaios em Tuberculose e Outras Micobactérias, </w:t>
      </w:r>
    </w:p>
    <w:p w14:paraId="62354E17">
      <w:pPr>
        <w:pStyle w:val="2"/>
        <w:rPr>
          <w:rFonts w:hint="eastAsia"/>
        </w:rPr>
      </w:pPr>
      <w:r>
        <w:rPr>
          <w:rFonts w:hint="eastAsia"/>
        </w:rPr>
        <w:t>Rio de Janeiro, RJ, Brazil.</w:t>
      </w:r>
    </w:p>
    <w:p w14:paraId="6BF95DB5">
      <w:pPr>
        <w:pStyle w:val="2"/>
        <w:rPr>
          <w:rFonts w:hint="eastAsia"/>
        </w:rPr>
      </w:pPr>
      <w:r>
        <w:rPr>
          <w:rFonts w:hint="eastAsia"/>
        </w:rPr>
        <w:t xml:space="preserve">(4)Fundação Oswaldo Cruz, Instituto Nacional de Infectologia Evandro Chagas, </w:t>
      </w:r>
    </w:p>
    <w:p w14:paraId="74072FF8">
      <w:pPr>
        <w:pStyle w:val="2"/>
        <w:rPr>
          <w:rFonts w:hint="eastAsia"/>
        </w:rPr>
      </w:pPr>
      <w:r>
        <w:rPr>
          <w:rFonts w:hint="eastAsia"/>
        </w:rPr>
        <w:t>Laboratório de Pesquisa Clínica em AIDS, Rio de Janeiro, RJ, Brazil.</w:t>
      </w:r>
    </w:p>
    <w:p w14:paraId="3470CA9C">
      <w:pPr>
        <w:pStyle w:val="2"/>
        <w:rPr>
          <w:rFonts w:hint="eastAsia"/>
        </w:rPr>
      </w:pPr>
      <w:r>
        <w:rPr>
          <w:rFonts w:hint="eastAsia"/>
        </w:rPr>
        <w:t>(5)Instituto de Salud Carlos III, Majadahonda, Madrid, Spain.</w:t>
      </w:r>
    </w:p>
    <w:p w14:paraId="5A9B6CB4">
      <w:pPr>
        <w:pStyle w:val="2"/>
        <w:rPr>
          <w:rFonts w:hint="eastAsia"/>
        </w:rPr>
      </w:pPr>
      <w:r>
        <w:rPr>
          <w:rFonts w:hint="eastAsia"/>
        </w:rPr>
        <w:t xml:space="preserve">(6)CIBERINFEC, ISCIII-CIBER de Enfermedades Infecciosas, Instituto de Salud </w:t>
      </w:r>
    </w:p>
    <w:p w14:paraId="06C47757">
      <w:pPr>
        <w:pStyle w:val="2"/>
        <w:rPr>
          <w:rFonts w:hint="eastAsia"/>
        </w:rPr>
      </w:pPr>
      <w:r>
        <w:rPr>
          <w:rFonts w:hint="eastAsia"/>
        </w:rPr>
        <w:t>Carlos III, Madrid, Spain.</w:t>
      </w:r>
    </w:p>
    <w:p w14:paraId="74792AB3">
      <w:pPr>
        <w:pStyle w:val="2"/>
        <w:rPr>
          <w:rFonts w:hint="eastAsia"/>
        </w:rPr>
      </w:pPr>
      <w:r>
        <w:rPr>
          <w:rFonts w:hint="eastAsia"/>
        </w:rPr>
        <w:t xml:space="preserve">(7)Fundação Oswaldo Cruz, Instituto Nacional de Infectologia Evandro Chagas, </w:t>
      </w:r>
    </w:p>
    <w:p w14:paraId="70D5A621">
      <w:pPr>
        <w:pStyle w:val="2"/>
        <w:rPr>
          <w:rFonts w:hint="eastAsia"/>
        </w:rPr>
      </w:pPr>
      <w:r>
        <w:rPr>
          <w:rFonts w:hint="eastAsia"/>
        </w:rPr>
        <w:t>Laboratório de Epidemiologia Clínica, Rio de Janeiro, RJ, Brazil.</w:t>
      </w:r>
    </w:p>
    <w:p w14:paraId="2F5AEBDE">
      <w:pPr>
        <w:pStyle w:val="2"/>
        <w:rPr>
          <w:rFonts w:hint="eastAsia"/>
        </w:rPr>
      </w:pPr>
      <w:r>
        <w:rPr>
          <w:rFonts w:hint="eastAsia"/>
        </w:rPr>
        <w:t xml:space="preserve">(8)Department of Communicable Diseases Prevention, Control, and Elimination, Pan </w:t>
      </w:r>
    </w:p>
    <w:p w14:paraId="138D2B93">
      <w:pPr>
        <w:pStyle w:val="2"/>
        <w:rPr>
          <w:rFonts w:hint="eastAsia"/>
        </w:rPr>
      </w:pPr>
      <w:r>
        <w:rPr>
          <w:rFonts w:hint="eastAsia"/>
        </w:rPr>
        <w:t>American Health Organization, WA, DC, USA.</w:t>
      </w:r>
    </w:p>
    <w:p w14:paraId="429D9677">
      <w:pPr>
        <w:pStyle w:val="2"/>
        <w:rPr>
          <w:rFonts w:hint="eastAsia"/>
        </w:rPr>
      </w:pPr>
      <w:r>
        <w:rPr>
          <w:rFonts w:hint="eastAsia"/>
        </w:rPr>
        <w:t xml:space="preserve">(9)Federal University of Health Sciences of Porto Alegre (UFCSPA), Porto Alegre, </w:t>
      </w:r>
    </w:p>
    <w:p w14:paraId="0D7B4CD8">
      <w:pPr>
        <w:pStyle w:val="2"/>
        <w:rPr>
          <w:rFonts w:hint="eastAsia"/>
        </w:rPr>
      </w:pPr>
      <w:r>
        <w:rPr>
          <w:rFonts w:hint="eastAsia"/>
        </w:rPr>
        <w:t>RS, Brazil.</w:t>
      </w:r>
    </w:p>
    <w:p w14:paraId="0AEA5FC4">
      <w:pPr>
        <w:pStyle w:val="2"/>
        <w:rPr>
          <w:rFonts w:hint="eastAsia"/>
        </w:rPr>
      </w:pPr>
    </w:p>
    <w:p w14:paraId="79E3530E">
      <w:pPr>
        <w:pStyle w:val="2"/>
        <w:rPr>
          <w:rFonts w:hint="eastAsia"/>
        </w:rPr>
      </w:pPr>
      <w:r>
        <w:rPr>
          <w:rFonts w:hint="eastAsia"/>
        </w:rPr>
        <w:t xml:space="preserve">Fungal pneumonias and tuberculosis (TB) remain major causes of mortality among </w:t>
      </w:r>
    </w:p>
    <w:p w14:paraId="61ABEC3B">
      <w:pPr>
        <w:pStyle w:val="2"/>
        <w:rPr>
          <w:rFonts w:hint="eastAsia"/>
        </w:rPr>
      </w:pPr>
      <w:r>
        <w:rPr>
          <w:rFonts w:hint="eastAsia"/>
        </w:rPr>
        <w:t xml:space="preserve">people living with advanced HIV disease (PLWHA). Their overlapping clinical </w:t>
      </w:r>
    </w:p>
    <w:p w14:paraId="57473ACB">
      <w:pPr>
        <w:pStyle w:val="2"/>
        <w:rPr>
          <w:rFonts w:hint="eastAsia"/>
        </w:rPr>
      </w:pPr>
      <w:r>
        <w:rPr>
          <w:rFonts w:hint="eastAsia"/>
        </w:rPr>
        <w:t xml:space="preserve">manifestations delay diagnosis in developed and resource-limited settings, with </w:t>
      </w:r>
    </w:p>
    <w:p w14:paraId="32122265">
      <w:pPr>
        <w:pStyle w:val="2"/>
        <w:rPr>
          <w:rFonts w:hint="eastAsia"/>
        </w:rPr>
      </w:pPr>
      <w:r>
        <w:rPr>
          <w:rFonts w:hint="eastAsia"/>
        </w:rPr>
        <w:t xml:space="preserve">greater impact where access to rapid diagnostic tools is limited. This study </w:t>
      </w:r>
    </w:p>
    <w:p w14:paraId="247FBB46">
      <w:pPr>
        <w:pStyle w:val="2"/>
        <w:rPr>
          <w:rFonts w:hint="eastAsia"/>
        </w:rPr>
      </w:pPr>
      <w:r>
        <w:rPr>
          <w:rFonts w:hint="eastAsia"/>
        </w:rPr>
        <w:t xml:space="preserve">evaluated the performance of a multiplex quantitative PCR (qPCR) assay for </w:t>
      </w:r>
    </w:p>
    <w:p w14:paraId="744EA303">
      <w:pPr>
        <w:pStyle w:val="2"/>
        <w:rPr>
          <w:rFonts w:hint="eastAsia"/>
        </w:rPr>
      </w:pPr>
      <w:r>
        <w:rPr>
          <w:rFonts w:hint="eastAsia"/>
        </w:rPr>
        <w:t xml:space="preserve">simultaneous detection of Histoplasma capsulatum, Cryptococcus neoformans, </w:t>
      </w:r>
    </w:p>
    <w:p w14:paraId="48CE1200">
      <w:pPr>
        <w:pStyle w:val="2"/>
        <w:rPr>
          <w:rFonts w:hint="eastAsia"/>
        </w:rPr>
      </w:pPr>
      <w:r>
        <w:rPr>
          <w:rFonts w:hint="eastAsia"/>
        </w:rPr>
        <w:t xml:space="preserve">Pneumocystis jirovecii, and Mycobacterium tuberculosis complex in respiratory </w:t>
      </w:r>
    </w:p>
    <w:p w14:paraId="16D94A6F">
      <w:pPr>
        <w:pStyle w:val="2"/>
        <w:rPr>
          <w:rFonts w:hint="eastAsia"/>
        </w:rPr>
      </w:pPr>
      <w:r>
        <w:rPr>
          <w:rFonts w:hint="eastAsia"/>
        </w:rPr>
        <w:t xml:space="preserve">samples from PLWHA. A cross-sectional study was conducted at the Instituto </w:t>
      </w:r>
    </w:p>
    <w:p w14:paraId="78E5C25C">
      <w:pPr>
        <w:pStyle w:val="2"/>
        <w:rPr>
          <w:rFonts w:hint="eastAsia"/>
        </w:rPr>
      </w:pPr>
      <w:r>
        <w:rPr>
          <w:rFonts w:hint="eastAsia"/>
        </w:rPr>
        <w:t xml:space="preserve">Nacional de Infectologia Evandro Chagas (Rio de Janeiro, Brazil) between </w:t>
      </w:r>
    </w:p>
    <w:p w14:paraId="01F16923">
      <w:pPr>
        <w:pStyle w:val="2"/>
        <w:rPr>
          <w:rFonts w:hint="eastAsia"/>
        </w:rPr>
      </w:pPr>
      <w:r>
        <w:rPr>
          <w:rFonts w:hint="eastAsia"/>
        </w:rPr>
        <w:t xml:space="preserve">December 2023 and March 2025. Adults with HIV infection (CD4 &lt; 200 cells/mm³) </w:t>
      </w:r>
    </w:p>
    <w:p w14:paraId="114E5AA8">
      <w:pPr>
        <w:pStyle w:val="2"/>
        <w:rPr>
          <w:rFonts w:hint="eastAsia"/>
        </w:rPr>
      </w:pPr>
      <w:r>
        <w:rPr>
          <w:rFonts w:hint="eastAsia"/>
        </w:rPr>
        <w:t xml:space="preserve">and clinical or radiological evidence of pulmonary infection were enrolled. </w:t>
      </w:r>
    </w:p>
    <w:p w14:paraId="41C3D99F">
      <w:pPr>
        <w:pStyle w:val="2"/>
        <w:rPr>
          <w:rFonts w:hint="eastAsia"/>
        </w:rPr>
      </w:pPr>
      <w:r>
        <w:rPr>
          <w:rFonts w:hint="eastAsia"/>
        </w:rPr>
        <w:t xml:space="preserve">Standard diagnostic methods included culture, microscopy, antigen detection </w:t>
      </w:r>
    </w:p>
    <w:p w14:paraId="684655D8">
      <w:pPr>
        <w:pStyle w:val="2"/>
        <w:rPr>
          <w:rFonts w:hint="eastAsia"/>
        </w:rPr>
      </w:pPr>
      <w:r>
        <w:rPr>
          <w:rFonts w:hint="eastAsia"/>
        </w:rPr>
        <w:t xml:space="preserve">(CrAg-LFA, urinary Histoplasma antigen, TB-LAM), GeneXpert® MTB/RIF, and </w:t>
      </w:r>
    </w:p>
    <w:p w14:paraId="267E8F59">
      <w:pPr>
        <w:pStyle w:val="2"/>
        <w:rPr>
          <w:rFonts w:hint="eastAsia"/>
        </w:rPr>
      </w:pPr>
      <w:r>
        <w:rPr>
          <w:rFonts w:hint="eastAsia"/>
        </w:rPr>
        <w:t xml:space="preserve">commercial qPCR for P. jirovecii. The multiplex assay targeted the ITS region </w:t>
      </w:r>
    </w:p>
    <w:p w14:paraId="46999747">
      <w:pPr>
        <w:pStyle w:val="2"/>
        <w:rPr>
          <w:rFonts w:hint="eastAsia"/>
        </w:rPr>
      </w:pPr>
      <w:r>
        <w:rPr>
          <w:rFonts w:hint="eastAsia"/>
        </w:rPr>
        <w:t xml:space="preserve">(H. capsulatum and C. neoformans), mtLSU (P. jirovecii), and IS6110 (M. </w:t>
      </w:r>
    </w:p>
    <w:p w14:paraId="7DE3D25B">
      <w:pPr>
        <w:pStyle w:val="2"/>
        <w:rPr>
          <w:rFonts w:hint="eastAsia"/>
        </w:rPr>
      </w:pPr>
      <w:r>
        <w:rPr>
          <w:rFonts w:hint="eastAsia"/>
        </w:rPr>
        <w:t xml:space="preserve">tuberculosis). Among 198 screened participants, 88 met inclusion criteria (mean </w:t>
      </w:r>
    </w:p>
    <w:p w14:paraId="22B6C6A4">
      <w:pPr>
        <w:pStyle w:val="2"/>
        <w:rPr>
          <w:rFonts w:hint="eastAsia"/>
        </w:rPr>
      </w:pPr>
      <w:r>
        <w:rPr>
          <w:rFonts w:hint="eastAsia"/>
        </w:rPr>
        <w:t xml:space="preserve">CD4 count: 56 cells/µL). Diagnosis included TB (56.8%), pneumocystosis (34.1%), </w:t>
      </w:r>
    </w:p>
    <w:p w14:paraId="440FA0F8">
      <w:pPr>
        <w:pStyle w:val="2"/>
        <w:rPr>
          <w:rFonts w:hint="eastAsia"/>
        </w:rPr>
      </w:pPr>
      <w:r>
        <w:rPr>
          <w:rFonts w:hint="eastAsia"/>
        </w:rPr>
        <w:t xml:space="preserve">histoplasmosis (10.2%), and cryptococcosis (11.4%); 25% presented coinfections. </w:t>
      </w:r>
    </w:p>
    <w:p w14:paraId="65E67204">
      <w:pPr>
        <w:pStyle w:val="2"/>
        <w:rPr>
          <w:rFonts w:hint="eastAsia"/>
        </w:rPr>
      </w:pPr>
      <w:r>
        <w:rPr>
          <w:rFonts w:hint="eastAsia"/>
        </w:rPr>
        <w:t xml:space="preserve">The multiplex qPCR showed 100% sensitivity for histoplasmosis, 80% for </w:t>
      </w:r>
    </w:p>
    <w:p w14:paraId="24872110">
      <w:pPr>
        <w:pStyle w:val="2"/>
        <w:rPr>
          <w:rFonts w:hint="eastAsia"/>
        </w:rPr>
      </w:pPr>
      <w:r>
        <w:rPr>
          <w:rFonts w:hint="eastAsia"/>
        </w:rPr>
        <w:t xml:space="preserve">pneumocystosis, and 40% for both cryptococcosis and TB, with specificities ≥ 82% </w:t>
      </w:r>
    </w:p>
    <w:p w14:paraId="31E91AA2">
      <w:pPr>
        <w:pStyle w:val="2"/>
        <w:rPr>
          <w:rFonts w:hint="eastAsia"/>
        </w:rPr>
      </w:pPr>
      <w:r>
        <w:rPr>
          <w:rFonts w:hint="eastAsia"/>
        </w:rPr>
        <w:t xml:space="preserve">and 100% for TB. Overall accuracy ranged from 66% to 86%. Mortality was 12.5%, </w:t>
      </w:r>
    </w:p>
    <w:p w14:paraId="1836B10E">
      <w:pPr>
        <w:pStyle w:val="2"/>
        <w:rPr>
          <w:rFonts w:hint="eastAsia"/>
        </w:rPr>
      </w:pPr>
      <w:r>
        <w:rPr>
          <w:rFonts w:hint="eastAsia"/>
        </w:rPr>
        <w:t xml:space="preserve">highest among cryptococcosis cases (20%). The assay provided accurate detection </w:t>
      </w:r>
    </w:p>
    <w:p w14:paraId="2B92B543">
      <w:pPr>
        <w:pStyle w:val="2"/>
        <w:rPr>
          <w:rFonts w:hint="eastAsia"/>
        </w:rPr>
      </w:pPr>
      <w:r>
        <w:rPr>
          <w:rFonts w:hint="eastAsia"/>
        </w:rPr>
        <w:t xml:space="preserve">of H. capsulatum and P. jirovecii, although performance was limited for TB and </w:t>
      </w:r>
    </w:p>
    <w:p w14:paraId="24D1CF78">
      <w:pPr>
        <w:pStyle w:val="2"/>
        <w:rPr>
          <w:rFonts w:hint="eastAsia"/>
        </w:rPr>
      </w:pPr>
      <w:r>
        <w:rPr>
          <w:rFonts w:hint="eastAsia"/>
        </w:rPr>
        <w:t xml:space="preserve">cryptococcosis, supporting its use as a complementary molecular tool for </w:t>
      </w:r>
    </w:p>
    <w:p w14:paraId="29CC6FDF">
      <w:pPr>
        <w:pStyle w:val="2"/>
        <w:rPr>
          <w:rFonts w:hint="eastAsia"/>
        </w:rPr>
      </w:pPr>
      <w:r>
        <w:rPr>
          <w:rFonts w:hint="eastAsia"/>
        </w:rPr>
        <w:t>differential diagnosis in PLWHA.</w:t>
      </w:r>
    </w:p>
    <w:p w14:paraId="7953E2F2">
      <w:pPr>
        <w:pStyle w:val="2"/>
        <w:rPr>
          <w:rFonts w:hint="eastAsia"/>
        </w:rPr>
      </w:pPr>
    </w:p>
    <w:p w14:paraId="070C337E">
      <w:pPr>
        <w:pStyle w:val="2"/>
        <w:rPr>
          <w:rFonts w:hint="eastAsia"/>
        </w:rPr>
      </w:pPr>
      <w:r>
        <w:rPr>
          <w:rFonts w:hint="eastAsia"/>
        </w:rPr>
        <w:t xml:space="preserve">© The Author(s) 2026. Published by Oxford University Press on behalf of The </w:t>
      </w:r>
    </w:p>
    <w:p w14:paraId="1C642D35">
      <w:pPr>
        <w:pStyle w:val="2"/>
        <w:rPr>
          <w:rFonts w:hint="eastAsia"/>
        </w:rPr>
      </w:pPr>
      <w:r>
        <w:rPr>
          <w:rFonts w:hint="eastAsia"/>
        </w:rPr>
        <w:t xml:space="preserve">International Society for Human and Animal Mycology. All rights reserved. For </w:t>
      </w:r>
    </w:p>
    <w:p w14:paraId="6A7D8426">
      <w:pPr>
        <w:pStyle w:val="2"/>
        <w:rPr>
          <w:rFonts w:hint="eastAsia"/>
        </w:rPr>
      </w:pPr>
      <w:r>
        <w:rPr>
          <w:rFonts w:hint="eastAsia"/>
        </w:rPr>
        <w:t xml:space="preserve">commercial re-use, please contact reprints@oup.com for reprints and translation </w:t>
      </w:r>
    </w:p>
    <w:p w14:paraId="7D673303">
      <w:pPr>
        <w:pStyle w:val="2"/>
        <w:rPr>
          <w:rFonts w:hint="eastAsia"/>
        </w:rPr>
      </w:pPr>
      <w:r>
        <w:rPr>
          <w:rFonts w:hint="eastAsia"/>
        </w:rPr>
        <w:t xml:space="preserve">rights for reprints. All other permissions can be obtained through our </w:t>
      </w:r>
    </w:p>
    <w:p w14:paraId="6343F897">
      <w:pPr>
        <w:pStyle w:val="2"/>
        <w:rPr>
          <w:rFonts w:hint="eastAsia"/>
        </w:rPr>
      </w:pPr>
      <w:r>
        <w:rPr>
          <w:rFonts w:hint="eastAsia"/>
        </w:rPr>
        <w:t xml:space="preserve">RightsLink service via the Permissions link on the article page on our site-for </w:t>
      </w:r>
    </w:p>
    <w:p w14:paraId="59CA71F4">
      <w:pPr>
        <w:pStyle w:val="2"/>
        <w:rPr>
          <w:rFonts w:hint="eastAsia"/>
        </w:rPr>
      </w:pPr>
      <w:r>
        <w:rPr>
          <w:rFonts w:hint="eastAsia"/>
        </w:rPr>
        <w:t>further information please contact journals.permissions@oup.com.</w:t>
      </w:r>
    </w:p>
    <w:p w14:paraId="2A299994">
      <w:pPr>
        <w:pStyle w:val="2"/>
        <w:rPr>
          <w:rFonts w:hint="eastAsia"/>
        </w:rPr>
      </w:pPr>
    </w:p>
    <w:p w14:paraId="3146572B">
      <w:pPr>
        <w:pStyle w:val="2"/>
        <w:rPr>
          <w:rFonts w:hint="eastAsia"/>
        </w:rPr>
      </w:pPr>
      <w:r>
        <w:rPr>
          <w:rFonts w:hint="eastAsia"/>
        </w:rPr>
        <w:t>DOI: 10.1093/mmy/myag108</w:t>
      </w:r>
    </w:p>
    <w:p w14:paraId="0DDF31CD">
      <w:pPr>
        <w:pStyle w:val="2"/>
        <w:rPr>
          <w:rFonts w:hint="eastAsia"/>
        </w:rPr>
      </w:pPr>
      <w:r>
        <w:rPr>
          <w:rFonts w:hint="eastAsia"/>
        </w:rPr>
        <w:t>PMID: 42833631</w:t>
      </w:r>
    </w:p>
    <w:p w14:paraId="083C4197">
      <w:pPr>
        <w:pStyle w:val="2"/>
        <w:rPr>
          <w:rFonts w:hint="eastAsia"/>
        </w:rPr>
      </w:pPr>
    </w:p>
    <w:p w14:paraId="0C99563E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55</w:t>
      </w:r>
      <w:r>
        <w:rPr>
          <w:rFonts w:hint="eastAsia"/>
          <w:b/>
          <w:bCs/>
          <w:color w:val="FF0000"/>
        </w:rPr>
        <w:t xml:space="preserve">. Int J Infect Dis. 2026 Oct 5:109161. doi: 10.1016/j.ijid.2026.109161. Online </w:t>
      </w:r>
    </w:p>
    <w:p w14:paraId="48478840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ahead of print.</w:t>
      </w:r>
    </w:p>
    <w:p w14:paraId="7C6B93C0">
      <w:pPr>
        <w:pStyle w:val="2"/>
        <w:rPr>
          <w:rFonts w:hint="eastAsia"/>
        </w:rPr>
      </w:pPr>
    </w:p>
    <w:p w14:paraId="3DA405B4">
      <w:pPr>
        <w:pStyle w:val="2"/>
        <w:rPr>
          <w:rFonts w:hint="eastAsia"/>
        </w:rPr>
      </w:pPr>
      <w:r>
        <w:rPr>
          <w:rFonts w:hint="eastAsia"/>
        </w:rPr>
        <w:t xml:space="preserve">Xpert MTB/RIF Ultra on nasopharyngeal swabs has lower sensitivity for pulmonary </w:t>
      </w:r>
    </w:p>
    <w:p w14:paraId="4BB69778">
      <w:pPr>
        <w:pStyle w:val="2"/>
        <w:rPr>
          <w:rFonts w:hint="eastAsia"/>
        </w:rPr>
      </w:pPr>
      <w:r>
        <w:rPr>
          <w:rFonts w:hint="eastAsia"/>
        </w:rPr>
        <w:t xml:space="preserve">tuberculosis than tongue swabs: a nested case-control study in South African </w:t>
      </w:r>
    </w:p>
    <w:p w14:paraId="5F696006">
      <w:pPr>
        <w:pStyle w:val="2"/>
        <w:rPr>
          <w:rFonts w:hint="eastAsia"/>
        </w:rPr>
      </w:pPr>
      <w:r>
        <w:rPr>
          <w:rFonts w:hint="eastAsia"/>
        </w:rPr>
        <w:t>primary care.</w:t>
      </w:r>
    </w:p>
    <w:p w14:paraId="1A2AAF52">
      <w:pPr>
        <w:pStyle w:val="2"/>
        <w:rPr>
          <w:rFonts w:hint="eastAsia"/>
        </w:rPr>
      </w:pPr>
    </w:p>
    <w:p w14:paraId="2965FBC7">
      <w:pPr>
        <w:pStyle w:val="2"/>
        <w:rPr>
          <w:rFonts w:hint="eastAsia"/>
        </w:rPr>
      </w:pPr>
      <w:r>
        <w:rPr>
          <w:rFonts w:hint="eastAsia"/>
        </w:rPr>
        <w:t xml:space="preserve">Nakawunde R(1), Achar J(2), Allwood B(3), Moodley S(1), Rockman L(1), Nwamba </w:t>
      </w:r>
    </w:p>
    <w:p w14:paraId="3CD41169">
      <w:pPr>
        <w:pStyle w:val="2"/>
        <w:rPr>
          <w:rFonts w:hint="eastAsia"/>
        </w:rPr>
      </w:pPr>
      <w:r>
        <w:rPr>
          <w:rFonts w:hint="eastAsia"/>
        </w:rPr>
        <w:t>WV(1), Okunola A(1), Naidoo D(1), Banaei N(4), Marsh CC(1), Theron G(5).</w:t>
      </w:r>
    </w:p>
    <w:p w14:paraId="4FCDC773">
      <w:pPr>
        <w:pStyle w:val="2"/>
        <w:rPr>
          <w:rFonts w:hint="eastAsia"/>
        </w:rPr>
      </w:pPr>
    </w:p>
    <w:p w14:paraId="0D4723DE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7238CDA0">
      <w:pPr>
        <w:pStyle w:val="2"/>
        <w:rPr>
          <w:rFonts w:hint="eastAsia"/>
        </w:rPr>
      </w:pPr>
      <w:r>
        <w:rPr>
          <w:rFonts w:hint="eastAsia"/>
        </w:rPr>
        <w:t xml:space="preserve">(1)DSI-NRF Centre of Excellence for Biomedical Tuberculosis Research, South </w:t>
      </w:r>
    </w:p>
    <w:p w14:paraId="5F934C70">
      <w:pPr>
        <w:pStyle w:val="2"/>
        <w:rPr>
          <w:rFonts w:hint="eastAsia"/>
        </w:rPr>
      </w:pPr>
      <w:r>
        <w:rPr>
          <w:rFonts w:hint="eastAsia"/>
        </w:rPr>
        <w:t xml:space="preserve">African Medical Research Council Centre for Tuberculosis Research, Division of </w:t>
      </w:r>
    </w:p>
    <w:p w14:paraId="3E91C2E2">
      <w:pPr>
        <w:pStyle w:val="2"/>
        <w:rPr>
          <w:rFonts w:hint="eastAsia"/>
        </w:rPr>
      </w:pPr>
      <w:r>
        <w:rPr>
          <w:rFonts w:hint="eastAsia"/>
        </w:rPr>
        <w:t xml:space="preserve">Molecular Biology and Human Genetics, Faculty of Medicine and Health Sciences, </w:t>
      </w:r>
    </w:p>
    <w:p w14:paraId="221EAD90">
      <w:pPr>
        <w:pStyle w:val="2"/>
        <w:rPr>
          <w:rFonts w:hint="eastAsia"/>
        </w:rPr>
      </w:pPr>
      <w:r>
        <w:rPr>
          <w:rFonts w:hint="eastAsia"/>
        </w:rPr>
        <w:t xml:space="preserve">Stellenbosch University, Francie van Zijl Drive, Tygerberg, Cape Town, 7505, </w:t>
      </w:r>
    </w:p>
    <w:p w14:paraId="30FC8472">
      <w:pPr>
        <w:pStyle w:val="2"/>
        <w:rPr>
          <w:rFonts w:hint="eastAsia"/>
        </w:rPr>
      </w:pPr>
      <w:r>
        <w:rPr>
          <w:rFonts w:hint="eastAsia"/>
        </w:rPr>
        <w:t xml:space="preserve">South Africa; Biomedical Research Institute (BMRI), Faculty of Medicine and </w:t>
      </w:r>
    </w:p>
    <w:p w14:paraId="57D43673">
      <w:pPr>
        <w:pStyle w:val="2"/>
        <w:rPr>
          <w:rFonts w:hint="eastAsia"/>
        </w:rPr>
      </w:pPr>
      <w:r>
        <w:rPr>
          <w:rFonts w:hint="eastAsia"/>
        </w:rPr>
        <w:t xml:space="preserve">Health Sciences, Stellenbosch University, Francie van Zijl Drive, Tygerberg, </w:t>
      </w:r>
    </w:p>
    <w:p w14:paraId="6E8385F2">
      <w:pPr>
        <w:pStyle w:val="2"/>
        <w:rPr>
          <w:rFonts w:hint="eastAsia"/>
        </w:rPr>
      </w:pPr>
      <w:r>
        <w:rPr>
          <w:rFonts w:hint="eastAsia"/>
        </w:rPr>
        <w:t>Cape Town, 7505, South Africa.</w:t>
      </w:r>
    </w:p>
    <w:p w14:paraId="54906DA6">
      <w:pPr>
        <w:pStyle w:val="2"/>
        <w:rPr>
          <w:rFonts w:hint="eastAsia"/>
        </w:rPr>
      </w:pPr>
      <w:r>
        <w:rPr>
          <w:rFonts w:hint="eastAsia"/>
        </w:rPr>
        <w:t xml:space="preserve">(2)DSI-NRF Centre of Excellence for Biomedical Tuberculosis Research, South </w:t>
      </w:r>
    </w:p>
    <w:p w14:paraId="75AFCC14">
      <w:pPr>
        <w:pStyle w:val="2"/>
        <w:rPr>
          <w:rFonts w:hint="eastAsia"/>
        </w:rPr>
      </w:pPr>
      <w:r>
        <w:rPr>
          <w:rFonts w:hint="eastAsia"/>
        </w:rPr>
        <w:t xml:space="preserve">African Medical Research Council Centre for Tuberculosis Research, Division of </w:t>
      </w:r>
    </w:p>
    <w:p w14:paraId="59C5A0DA">
      <w:pPr>
        <w:pStyle w:val="2"/>
        <w:rPr>
          <w:rFonts w:hint="eastAsia"/>
        </w:rPr>
      </w:pPr>
      <w:r>
        <w:rPr>
          <w:rFonts w:hint="eastAsia"/>
        </w:rPr>
        <w:t xml:space="preserve">Molecular Biology and Human Genetics, Faculty of Medicine and Health Sciences, </w:t>
      </w:r>
    </w:p>
    <w:p w14:paraId="360DE1DC">
      <w:pPr>
        <w:pStyle w:val="2"/>
        <w:rPr>
          <w:rFonts w:hint="eastAsia"/>
        </w:rPr>
      </w:pPr>
      <w:r>
        <w:rPr>
          <w:rFonts w:hint="eastAsia"/>
        </w:rPr>
        <w:t xml:space="preserve">Stellenbosch University, Francie van Zijl Drive, Tygerberg, Cape Town, 7505, </w:t>
      </w:r>
    </w:p>
    <w:p w14:paraId="2CEFE776">
      <w:pPr>
        <w:pStyle w:val="2"/>
        <w:rPr>
          <w:rFonts w:hint="eastAsia"/>
        </w:rPr>
      </w:pPr>
      <w:r>
        <w:rPr>
          <w:rFonts w:hint="eastAsia"/>
        </w:rPr>
        <w:t xml:space="preserve">South Africa; Biomedical Research Institute (BMRI), Faculty of Medicine and </w:t>
      </w:r>
    </w:p>
    <w:p w14:paraId="5B6C7B5E">
      <w:pPr>
        <w:pStyle w:val="2"/>
        <w:rPr>
          <w:rFonts w:hint="eastAsia"/>
        </w:rPr>
      </w:pPr>
      <w:r>
        <w:rPr>
          <w:rFonts w:hint="eastAsia"/>
        </w:rPr>
        <w:t xml:space="preserve">Health Sciences, Stellenbosch University, Francie van Zijl Drive, Tygerberg, </w:t>
      </w:r>
    </w:p>
    <w:p w14:paraId="251433DD">
      <w:pPr>
        <w:pStyle w:val="2"/>
        <w:rPr>
          <w:rFonts w:hint="eastAsia"/>
        </w:rPr>
      </w:pPr>
      <w:r>
        <w:rPr>
          <w:rFonts w:hint="eastAsia"/>
        </w:rPr>
        <w:t xml:space="preserve">Cape Town, 7505, South Africa; Department of Global Public Health, Karolinska </w:t>
      </w:r>
    </w:p>
    <w:p w14:paraId="13D54945">
      <w:pPr>
        <w:pStyle w:val="2"/>
        <w:rPr>
          <w:rFonts w:hint="eastAsia"/>
        </w:rPr>
      </w:pPr>
      <w:r>
        <w:rPr>
          <w:rFonts w:hint="eastAsia"/>
        </w:rPr>
        <w:t>Institutet, Nobels väg 9, 171 77, Stockholm, Sweden.</w:t>
      </w:r>
    </w:p>
    <w:p w14:paraId="3F4281DA">
      <w:pPr>
        <w:pStyle w:val="2"/>
        <w:rPr>
          <w:rFonts w:hint="eastAsia"/>
        </w:rPr>
      </w:pPr>
      <w:r>
        <w:rPr>
          <w:rFonts w:hint="eastAsia"/>
        </w:rPr>
        <w:t xml:space="preserve">(3)Division of Pulmonology, Department of Medicine, Tygerberg Hospital and </w:t>
      </w:r>
    </w:p>
    <w:p w14:paraId="13CA6F94">
      <w:pPr>
        <w:pStyle w:val="2"/>
        <w:rPr>
          <w:rFonts w:hint="eastAsia"/>
        </w:rPr>
      </w:pPr>
      <w:r>
        <w:rPr>
          <w:rFonts w:hint="eastAsia"/>
        </w:rPr>
        <w:t xml:space="preserve">Stellenbosch University, Francie van Zijl Drive, Tygerberg, Cape Town, 7505, </w:t>
      </w:r>
    </w:p>
    <w:p w14:paraId="44164482">
      <w:pPr>
        <w:pStyle w:val="2"/>
        <w:rPr>
          <w:rFonts w:hint="eastAsia"/>
        </w:rPr>
      </w:pPr>
      <w:r>
        <w:rPr>
          <w:rFonts w:hint="eastAsia"/>
        </w:rPr>
        <w:t>South Africa.</w:t>
      </w:r>
    </w:p>
    <w:p w14:paraId="712B485C">
      <w:pPr>
        <w:pStyle w:val="2"/>
        <w:rPr>
          <w:rFonts w:hint="eastAsia"/>
        </w:rPr>
      </w:pPr>
      <w:r>
        <w:rPr>
          <w:rFonts w:hint="eastAsia"/>
        </w:rPr>
        <w:t xml:space="preserve">(4)Department of Pathology, Stanford University School of Medicine, 300 Pasteur </w:t>
      </w:r>
    </w:p>
    <w:p w14:paraId="31AD330F">
      <w:pPr>
        <w:pStyle w:val="2"/>
        <w:rPr>
          <w:rFonts w:hint="eastAsia"/>
        </w:rPr>
      </w:pPr>
      <w:r>
        <w:rPr>
          <w:rFonts w:hint="eastAsia"/>
        </w:rPr>
        <w:t>Drive, Stanford, CA, 94305, USA.</w:t>
      </w:r>
    </w:p>
    <w:p w14:paraId="45076D32">
      <w:pPr>
        <w:pStyle w:val="2"/>
        <w:rPr>
          <w:rFonts w:hint="eastAsia"/>
        </w:rPr>
      </w:pPr>
      <w:r>
        <w:rPr>
          <w:rFonts w:hint="eastAsia"/>
        </w:rPr>
        <w:t xml:space="preserve">(5)DSI-NRF Centre of Excellence for Biomedical Tuberculosis Research, South </w:t>
      </w:r>
    </w:p>
    <w:p w14:paraId="6A786F20">
      <w:pPr>
        <w:pStyle w:val="2"/>
        <w:rPr>
          <w:rFonts w:hint="eastAsia"/>
        </w:rPr>
      </w:pPr>
      <w:r>
        <w:rPr>
          <w:rFonts w:hint="eastAsia"/>
        </w:rPr>
        <w:t xml:space="preserve">African Medical Research Council Centre for Tuberculosis Research, Division of </w:t>
      </w:r>
    </w:p>
    <w:p w14:paraId="3F1024D9">
      <w:pPr>
        <w:pStyle w:val="2"/>
        <w:rPr>
          <w:rFonts w:hint="eastAsia"/>
        </w:rPr>
      </w:pPr>
      <w:r>
        <w:rPr>
          <w:rFonts w:hint="eastAsia"/>
        </w:rPr>
        <w:t xml:space="preserve">Molecular Biology and Human Genetics, Faculty of Medicine and Health Sciences, </w:t>
      </w:r>
    </w:p>
    <w:p w14:paraId="2FB50D40">
      <w:pPr>
        <w:pStyle w:val="2"/>
        <w:rPr>
          <w:rFonts w:hint="eastAsia"/>
        </w:rPr>
      </w:pPr>
      <w:r>
        <w:rPr>
          <w:rFonts w:hint="eastAsia"/>
        </w:rPr>
        <w:t xml:space="preserve">Stellenbosch University, Francie van Zijl Drive, Tygerberg, Cape Town, 7505, </w:t>
      </w:r>
    </w:p>
    <w:p w14:paraId="16B52AAF">
      <w:pPr>
        <w:pStyle w:val="2"/>
        <w:rPr>
          <w:rFonts w:hint="eastAsia"/>
        </w:rPr>
      </w:pPr>
      <w:r>
        <w:rPr>
          <w:rFonts w:hint="eastAsia"/>
        </w:rPr>
        <w:t xml:space="preserve">South Africa; Biomedical Research Institute (BMRI), Faculty of Medicine and </w:t>
      </w:r>
    </w:p>
    <w:p w14:paraId="18FB1E68">
      <w:pPr>
        <w:pStyle w:val="2"/>
        <w:rPr>
          <w:rFonts w:hint="eastAsia"/>
        </w:rPr>
      </w:pPr>
      <w:r>
        <w:rPr>
          <w:rFonts w:hint="eastAsia"/>
        </w:rPr>
        <w:t xml:space="preserve">Health Sciences, Stellenbosch University, Francie van Zijl Drive, Tygerberg, </w:t>
      </w:r>
    </w:p>
    <w:p w14:paraId="0D1290FA">
      <w:pPr>
        <w:pStyle w:val="2"/>
        <w:rPr>
          <w:rFonts w:hint="eastAsia"/>
        </w:rPr>
      </w:pPr>
      <w:r>
        <w:rPr>
          <w:rFonts w:hint="eastAsia"/>
        </w:rPr>
        <w:t>Cape Town, 7505, South Africa. Electronic address: gtheron@sun.ac.za.</w:t>
      </w:r>
    </w:p>
    <w:p w14:paraId="15A861C0">
      <w:pPr>
        <w:pStyle w:val="2"/>
        <w:rPr>
          <w:rFonts w:hint="eastAsia"/>
        </w:rPr>
      </w:pPr>
    </w:p>
    <w:p w14:paraId="6574E9B1">
      <w:pPr>
        <w:pStyle w:val="2"/>
        <w:rPr>
          <w:rFonts w:hint="eastAsia"/>
        </w:rPr>
      </w:pPr>
      <w:r>
        <w:rPr>
          <w:rFonts w:hint="eastAsia"/>
          <w:b/>
          <w:bCs/>
        </w:rPr>
        <w:t>BACKGROUND:</w:t>
      </w:r>
      <w:r>
        <w:rPr>
          <w:rFonts w:hint="eastAsia"/>
        </w:rPr>
        <w:t xml:space="preserve"> Non-sputum alternatives for tuberculosis (TB) diagnosis are a </w:t>
      </w:r>
    </w:p>
    <w:p w14:paraId="725C4F63">
      <w:pPr>
        <w:pStyle w:val="2"/>
        <w:rPr>
          <w:rFonts w:hint="eastAsia"/>
        </w:rPr>
      </w:pPr>
      <w:r>
        <w:rPr>
          <w:rFonts w:hint="eastAsia"/>
        </w:rPr>
        <w:t xml:space="preserve">priority. Nasopharyngeal swabs (NPSs), routinely used for viral testing, may </w:t>
      </w:r>
    </w:p>
    <w:p w14:paraId="1F36DAA2">
      <w:pPr>
        <w:pStyle w:val="2"/>
        <w:rPr>
          <w:rFonts w:hint="eastAsia"/>
        </w:rPr>
      </w:pPr>
      <w:r>
        <w:rPr>
          <w:rFonts w:hint="eastAsia"/>
        </w:rPr>
        <w:t xml:space="preserve">have promise. Comparative performance to tongue swabs (TSs), which are </w:t>
      </w:r>
    </w:p>
    <w:p w14:paraId="0C658C61">
      <w:pPr>
        <w:pStyle w:val="2"/>
        <w:rPr>
          <w:rFonts w:hint="eastAsia"/>
        </w:rPr>
      </w:pPr>
      <w:r>
        <w:rPr>
          <w:rFonts w:hint="eastAsia"/>
        </w:rPr>
        <w:t>recommended for TB detection but have suboptimal sensitivity, is unknown.</w:t>
      </w:r>
    </w:p>
    <w:p w14:paraId="4D918D73">
      <w:pPr>
        <w:pStyle w:val="2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We evaluated Xpert MTB/RIF Ultra (Ultra; Cepheid, USA) on stored wet or </w:t>
      </w:r>
    </w:p>
    <w:p w14:paraId="6128D708">
      <w:pPr>
        <w:pStyle w:val="2"/>
        <w:rPr>
          <w:rFonts w:hint="eastAsia"/>
        </w:rPr>
      </w:pPr>
      <w:r>
        <w:rPr>
          <w:rFonts w:hint="eastAsia"/>
        </w:rPr>
        <w:t xml:space="preserve">dry NPSs (NPSU) from adults with presumptive TB consecutively presenting to </w:t>
      </w:r>
    </w:p>
    <w:p w14:paraId="1DED8D69">
      <w:pPr>
        <w:pStyle w:val="2"/>
        <w:rPr>
          <w:rFonts w:hint="eastAsia"/>
        </w:rPr>
      </w:pPr>
      <w:r>
        <w:rPr>
          <w:rFonts w:hint="eastAsia"/>
        </w:rPr>
        <w:t xml:space="preserve">primary care in Cape Town, South Africa. Using a nested case-control design, all </w:t>
      </w:r>
    </w:p>
    <w:p w14:paraId="1A0300B8">
      <w:pPr>
        <w:pStyle w:val="2"/>
        <w:rPr>
          <w:rFonts w:hint="eastAsia"/>
        </w:rPr>
      </w:pPr>
      <w:r>
        <w:rPr>
          <w:rFonts w:hint="eastAsia"/>
        </w:rPr>
        <w:t xml:space="preserve">TB-positive participants had NPSU (n=148) and random selection of TB-negative </w:t>
      </w:r>
    </w:p>
    <w:p w14:paraId="0B4B8BDF">
      <w:pPr>
        <w:pStyle w:val="2"/>
        <w:rPr>
          <w:rFonts w:hint="eastAsia"/>
        </w:rPr>
      </w:pPr>
      <w:r>
        <w:rPr>
          <w:rFonts w:hint="eastAsia"/>
        </w:rPr>
        <w:t xml:space="preserve">participants frequency-matched by HIV-status (n=117). We used a microbiological </w:t>
      </w:r>
    </w:p>
    <w:p w14:paraId="3F16FD8A">
      <w:pPr>
        <w:pStyle w:val="2"/>
        <w:rPr>
          <w:rFonts w:hint="eastAsia"/>
        </w:rPr>
      </w:pPr>
      <w:r>
        <w:rPr>
          <w:rFonts w:hint="eastAsia"/>
        </w:rPr>
        <w:t xml:space="preserve">reference standard (MRS) and extended MRS (eMRS). A consecutive subset </w:t>
      </w:r>
    </w:p>
    <w:p w14:paraId="34C4BDAA">
      <w:pPr>
        <w:pStyle w:val="2"/>
        <w:rPr>
          <w:rFonts w:hint="eastAsia"/>
        </w:rPr>
      </w:pPr>
      <w:r>
        <w:rPr>
          <w:rFonts w:hint="eastAsia"/>
        </w:rPr>
        <w:t xml:space="preserve">participant (n=130) also had TSs collected and of these, 62 TB-positive and 68 </w:t>
      </w:r>
    </w:p>
    <w:p w14:paraId="6A3FA038">
      <w:pPr>
        <w:pStyle w:val="2"/>
        <w:rPr>
          <w:rFonts w:hint="eastAsia"/>
        </w:rPr>
      </w:pPr>
      <w:r>
        <w:rPr>
          <w:rFonts w:hint="eastAsia"/>
        </w:rPr>
        <w:t>TB-negative people had TS Ultra (TSU) done.</w:t>
      </w:r>
    </w:p>
    <w:p w14:paraId="04B37944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NPSU sensitivity was 35% (95% CI 27, 43) and specificity 88% (80, 93). </w:t>
      </w:r>
    </w:p>
    <w:p w14:paraId="3F8DCEB9">
      <w:pPr>
        <w:pStyle w:val="2"/>
        <w:rPr>
          <w:rFonts w:hint="eastAsia"/>
        </w:rPr>
      </w:pPr>
      <w:r>
        <w:rPr>
          <w:rFonts w:hint="eastAsia"/>
        </w:rPr>
        <w:t xml:space="preserve">Wet swabs had higher sensitivity than dry swabs [45% (34, 57) vs 21% (12, 34)]. </w:t>
      </w:r>
    </w:p>
    <w:p w14:paraId="00487C9B">
      <w:pPr>
        <w:pStyle w:val="2"/>
        <w:rPr>
          <w:rFonts w:hint="eastAsia"/>
        </w:rPr>
      </w:pPr>
      <w:r>
        <w:rPr>
          <w:rFonts w:hint="eastAsia"/>
        </w:rPr>
        <w:t xml:space="preserve">Overall sensitivity was lower in HIV-positive participants [24% (14, 36) vs 44% </w:t>
      </w:r>
    </w:p>
    <w:p w14:paraId="6E9CE30E">
      <w:pPr>
        <w:pStyle w:val="2"/>
        <w:rPr>
          <w:rFonts w:hint="eastAsia"/>
        </w:rPr>
      </w:pPr>
      <w:r>
        <w:rPr>
          <w:rFonts w:hint="eastAsia"/>
        </w:rPr>
        <w:t xml:space="preserve">(32, 56)]. TSU had higher sensitivity [67% (53, 79); p&lt;0.001] than NPSU in </w:t>
      </w:r>
    </w:p>
    <w:p w14:paraId="3BA17977">
      <w:pPr>
        <w:pStyle w:val="2"/>
        <w:rPr>
          <w:rFonts w:hint="eastAsia"/>
        </w:rPr>
      </w:pPr>
      <w:r>
        <w:rPr>
          <w:rFonts w:hint="eastAsia"/>
        </w:rPr>
        <w:t>head-to-head comparisons. Specificities were comparable.</w:t>
      </w:r>
    </w:p>
    <w:p w14:paraId="65318320">
      <w:pPr>
        <w:pStyle w:val="2"/>
        <w:rPr>
          <w:rFonts w:hint="eastAsia"/>
        </w:rPr>
      </w:pPr>
      <w:r>
        <w:rPr>
          <w:rFonts w:hint="eastAsia"/>
          <w:b/>
          <w:bCs/>
        </w:rPr>
        <w:t>CONCLUSION:</w:t>
      </w:r>
      <w:r>
        <w:rPr>
          <w:rFonts w:hint="eastAsia"/>
        </w:rPr>
        <w:t xml:space="preserve"> NPSU sensitivity was lower than TSU, especially among dry NP swabs, </w:t>
      </w:r>
    </w:p>
    <w:p w14:paraId="6EAF4573">
      <w:pPr>
        <w:pStyle w:val="2"/>
        <w:rPr>
          <w:rFonts w:hint="eastAsia"/>
        </w:rPr>
      </w:pPr>
      <w:r>
        <w:rPr>
          <w:rFonts w:hint="eastAsia"/>
        </w:rPr>
        <w:t xml:space="preserve">and neither NPSU sensitivity nor specificity met WHO benchmarks for non-sputum </w:t>
      </w:r>
    </w:p>
    <w:p w14:paraId="19123A69">
      <w:pPr>
        <w:pStyle w:val="2"/>
        <w:rPr>
          <w:rFonts w:hint="eastAsia"/>
        </w:rPr>
      </w:pPr>
      <w:r>
        <w:rPr>
          <w:rFonts w:hint="eastAsia"/>
        </w:rPr>
        <w:t xml:space="preserve">confirmatory tests. NPSs do not appear useful for TB diagnosis without further </w:t>
      </w:r>
    </w:p>
    <w:p w14:paraId="120A4B67">
      <w:pPr>
        <w:pStyle w:val="2"/>
        <w:rPr>
          <w:rFonts w:hint="eastAsia"/>
        </w:rPr>
      </w:pPr>
      <w:r>
        <w:rPr>
          <w:rFonts w:hint="eastAsia"/>
        </w:rPr>
        <w:t>optimisation.</w:t>
      </w:r>
    </w:p>
    <w:p w14:paraId="452D4663">
      <w:pPr>
        <w:pStyle w:val="2"/>
        <w:rPr>
          <w:rFonts w:hint="eastAsia"/>
        </w:rPr>
      </w:pPr>
    </w:p>
    <w:p w14:paraId="4D69E585">
      <w:pPr>
        <w:pStyle w:val="2"/>
        <w:rPr>
          <w:rFonts w:hint="eastAsia"/>
        </w:rPr>
      </w:pPr>
      <w:r>
        <w:rPr>
          <w:rFonts w:hint="eastAsia"/>
        </w:rPr>
        <w:t>Copyright © 2026. Published by Elsevier Ltd.</w:t>
      </w:r>
    </w:p>
    <w:p w14:paraId="04E9DA60">
      <w:pPr>
        <w:pStyle w:val="2"/>
        <w:rPr>
          <w:rFonts w:hint="eastAsia"/>
        </w:rPr>
      </w:pPr>
    </w:p>
    <w:p w14:paraId="2C6F2736">
      <w:pPr>
        <w:pStyle w:val="2"/>
        <w:rPr>
          <w:rFonts w:hint="eastAsia"/>
        </w:rPr>
      </w:pPr>
      <w:r>
        <w:rPr>
          <w:rFonts w:hint="eastAsia"/>
        </w:rPr>
        <w:t>DOI: 10.1016/j.ijid.2026.109161</w:t>
      </w:r>
    </w:p>
    <w:p w14:paraId="3CAA38B9">
      <w:pPr>
        <w:pStyle w:val="2"/>
        <w:rPr>
          <w:rFonts w:hint="eastAsia"/>
        </w:rPr>
      </w:pPr>
      <w:r>
        <w:rPr>
          <w:rFonts w:hint="eastAsia"/>
        </w:rPr>
        <w:t>PMID: 42833442</w:t>
      </w:r>
    </w:p>
    <w:p w14:paraId="22DCEDF2">
      <w:pPr>
        <w:pStyle w:val="2"/>
        <w:rPr>
          <w:rFonts w:hint="eastAsia"/>
        </w:rPr>
      </w:pPr>
    </w:p>
    <w:p w14:paraId="19B76089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56</w:t>
      </w:r>
      <w:r>
        <w:rPr>
          <w:rFonts w:hint="eastAsia"/>
          <w:b/>
          <w:bCs/>
          <w:color w:val="FF0000"/>
        </w:rPr>
        <w:t>. Cell Rep Methods. 2026 Oct 5:101617. doi: 10.1016/j.crmeth.2026.101617. Online ahead of print.</w:t>
      </w:r>
    </w:p>
    <w:p w14:paraId="4FF13D09">
      <w:pPr>
        <w:pStyle w:val="2"/>
        <w:rPr>
          <w:rFonts w:hint="eastAsia"/>
        </w:rPr>
      </w:pPr>
    </w:p>
    <w:p w14:paraId="25B20AE2">
      <w:pPr>
        <w:pStyle w:val="2"/>
        <w:rPr>
          <w:rFonts w:hint="eastAsia"/>
        </w:rPr>
      </w:pPr>
      <w:r>
        <w:rPr>
          <w:rFonts w:hint="eastAsia"/>
        </w:rPr>
        <w:t xml:space="preserve">Mycobacterium tuberculosis gene expression dynamics in host environments with </w:t>
      </w:r>
    </w:p>
    <w:p w14:paraId="4518A171">
      <w:pPr>
        <w:pStyle w:val="2"/>
        <w:rPr>
          <w:rFonts w:hint="eastAsia"/>
        </w:rPr>
      </w:pPr>
      <w:r>
        <w:rPr>
          <w:rFonts w:hint="eastAsia"/>
        </w:rPr>
        <w:t>single-cell resolution.</w:t>
      </w:r>
    </w:p>
    <w:p w14:paraId="0B1AFBF0">
      <w:pPr>
        <w:pStyle w:val="2"/>
        <w:rPr>
          <w:rFonts w:hint="eastAsia"/>
        </w:rPr>
      </w:pPr>
    </w:p>
    <w:p w14:paraId="396060F1">
      <w:pPr>
        <w:pStyle w:val="2"/>
        <w:rPr>
          <w:rFonts w:hint="eastAsia"/>
        </w:rPr>
      </w:pPr>
      <w:r>
        <w:rPr>
          <w:rFonts w:hint="eastAsia"/>
        </w:rPr>
        <w:t xml:space="preserve">Aylan B(1), Botella L(1), Santucci P(1), Fearns A(1), Chen D(1), Rodgers A(1), </w:t>
      </w:r>
    </w:p>
    <w:p w14:paraId="1BC36E0E">
      <w:pPr>
        <w:pStyle w:val="2"/>
        <w:rPr>
          <w:rFonts w:hint="eastAsia"/>
        </w:rPr>
      </w:pPr>
      <w:r>
        <w:rPr>
          <w:rFonts w:hint="eastAsia"/>
        </w:rPr>
        <w:t>Cortes T(2), Gutierrez MG(3).</w:t>
      </w:r>
    </w:p>
    <w:p w14:paraId="18C3EF31">
      <w:pPr>
        <w:pStyle w:val="2"/>
        <w:rPr>
          <w:rFonts w:hint="eastAsia"/>
        </w:rPr>
      </w:pPr>
    </w:p>
    <w:p w14:paraId="489FE9E5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4D674399">
      <w:pPr>
        <w:pStyle w:val="2"/>
        <w:rPr>
          <w:rFonts w:hint="eastAsia"/>
        </w:rPr>
      </w:pPr>
      <w:r>
        <w:rPr>
          <w:rFonts w:hint="eastAsia"/>
        </w:rPr>
        <w:t xml:space="preserve">(1)Host-Pathogen Interactions in Tuberculosis Laboratory, The Francis Crick </w:t>
      </w:r>
    </w:p>
    <w:p w14:paraId="2F892ACE">
      <w:pPr>
        <w:pStyle w:val="2"/>
        <w:rPr>
          <w:rFonts w:hint="eastAsia"/>
        </w:rPr>
      </w:pPr>
      <w:r>
        <w:rPr>
          <w:rFonts w:hint="eastAsia"/>
        </w:rPr>
        <w:t>Institute, 1 Midland Road, London NW1 1AT, UK.</w:t>
      </w:r>
    </w:p>
    <w:p w14:paraId="13E212EA">
      <w:pPr>
        <w:pStyle w:val="2"/>
        <w:rPr>
          <w:rFonts w:hint="eastAsia"/>
        </w:rPr>
      </w:pPr>
      <w:r>
        <w:rPr>
          <w:rFonts w:hint="eastAsia"/>
        </w:rPr>
        <w:t>(2)Instituto de Biomedicina de Valencia, CSIC, 46010 Valencia, Spain.</w:t>
      </w:r>
    </w:p>
    <w:p w14:paraId="7A470ADF">
      <w:pPr>
        <w:pStyle w:val="2"/>
        <w:rPr>
          <w:rFonts w:hint="eastAsia"/>
        </w:rPr>
      </w:pPr>
      <w:r>
        <w:rPr>
          <w:rFonts w:hint="eastAsia"/>
        </w:rPr>
        <w:t xml:space="preserve">(3)Host-Pathogen Interactions in Tuberculosis Laboratory, The Francis Crick </w:t>
      </w:r>
    </w:p>
    <w:p w14:paraId="26B77599">
      <w:pPr>
        <w:pStyle w:val="2"/>
        <w:rPr>
          <w:rFonts w:hint="eastAsia"/>
        </w:rPr>
      </w:pPr>
      <w:r>
        <w:rPr>
          <w:rFonts w:hint="eastAsia"/>
        </w:rPr>
        <w:t xml:space="preserve">Institute, 1 Midland Road, London NW1 1AT, UK. Electronic address: </w:t>
      </w:r>
    </w:p>
    <w:p w14:paraId="345CCE8D">
      <w:pPr>
        <w:pStyle w:val="2"/>
        <w:rPr>
          <w:rFonts w:hint="eastAsia"/>
        </w:rPr>
      </w:pPr>
      <w:r>
        <w:rPr>
          <w:rFonts w:hint="eastAsia"/>
        </w:rPr>
        <w:t>max.g@crick.ac.uk.</w:t>
      </w:r>
    </w:p>
    <w:p w14:paraId="38FB5858">
      <w:pPr>
        <w:pStyle w:val="2"/>
        <w:rPr>
          <w:rFonts w:hint="eastAsia"/>
        </w:rPr>
      </w:pPr>
    </w:p>
    <w:p w14:paraId="7448F362">
      <w:pPr>
        <w:pStyle w:val="2"/>
        <w:rPr>
          <w:rFonts w:hint="eastAsia"/>
        </w:rPr>
      </w:pPr>
      <w:r>
        <w:rPr>
          <w:rFonts w:hint="eastAsia"/>
        </w:rPr>
        <w:t xml:space="preserve">Visualizing when and where Mycobacterium tuberculosis (Mtb) genes are expressed </w:t>
      </w:r>
    </w:p>
    <w:p w14:paraId="132E7DFF">
      <w:pPr>
        <w:pStyle w:val="2"/>
        <w:rPr>
          <w:rFonts w:hint="eastAsia"/>
        </w:rPr>
      </w:pPr>
      <w:r>
        <w:rPr>
          <w:rFonts w:hint="eastAsia"/>
        </w:rPr>
        <w:t xml:space="preserve">in the host cell is crucial to understand tuberculosis heterogeneity. However, </w:t>
      </w:r>
    </w:p>
    <w:p w14:paraId="4B4D3243">
      <w:pPr>
        <w:pStyle w:val="2"/>
        <w:rPr>
          <w:rFonts w:hint="eastAsia"/>
        </w:rPr>
      </w:pPr>
      <w:r>
        <w:rPr>
          <w:rFonts w:hint="eastAsia"/>
        </w:rPr>
        <w:t xml:space="preserve">imaging approaches for studying spatiotemporal gene expression in Mtb remain </w:t>
      </w:r>
    </w:p>
    <w:p w14:paraId="34572823">
      <w:pPr>
        <w:pStyle w:val="2"/>
        <w:rPr>
          <w:rFonts w:hint="eastAsia"/>
        </w:rPr>
      </w:pPr>
      <w:r>
        <w:rPr>
          <w:rFonts w:hint="eastAsia"/>
        </w:rPr>
        <w:t xml:space="preserve">limited. Here, we developed a dual-fluorophore Mtb reporter system that enables </w:t>
      </w:r>
    </w:p>
    <w:p w14:paraId="5A0C58FA">
      <w:pPr>
        <w:pStyle w:val="2"/>
        <w:rPr>
          <w:rFonts w:hint="eastAsia"/>
        </w:rPr>
      </w:pPr>
      <w:r>
        <w:rPr>
          <w:rFonts w:hint="eastAsia"/>
        </w:rPr>
        <w:t xml:space="preserve">high-content, live-cell imaging of Mtb gene expression with high spatial and </w:t>
      </w:r>
    </w:p>
    <w:p w14:paraId="6401824C">
      <w:pPr>
        <w:pStyle w:val="2"/>
        <w:rPr>
          <w:rFonts w:hint="eastAsia"/>
        </w:rPr>
      </w:pPr>
      <w:r>
        <w:rPr>
          <w:rFonts w:hint="eastAsia"/>
        </w:rPr>
        <w:t xml:space="preserve">temporal resolution. By monitoring components of the Mtb ESX-1 secretion system, </w:t>
      </w:r>
    </w:p>
    <w:p w14:paraId="507B6D7B">
      <w:pPr>
        <w:pStyle w:val="2"/>
        <w:rPr>
          <w:rFonts w:hint="eastAsia"/>
        </w:rPr>
      </w:pPr>
      <w:r>
        <w:rPr>
          <w:rFonts w:hint="eastAsia"/>
        </w:rPr>
        <w:t xml:space="preserve">we observed substantial heterogeneity in Mtb promoter activity both within and </w:t>
      </w:r>
    </w:p>
    <w:p w14:paraId="6E3C70DF">
      <w:pPr>
        <w:pStyle w:val="2"/>
        <w:rPr>
          <w:rFonts w:hint="eastAsia"/>
        </w:rPr>
      </w:pPr>
      <w:r>
        <w:rPr>
          <w:rFonts w:hint="eastAsia"/>
        </w:rPr>
        <w:t xml:space="preserve">between the infected human macrophages. We further found that phthiocerol </w:t>
      </w:r>
    </w:p>
    <w:p w14:paraId="3A83E925">
      <w:pPr>
        <w:pStyle w:val="2"/>
        <w:rPr>
          <w:rFonts w:hint="eastAsia"/>
        </w:rPr>
      </w:pPr>
      <w:r>
        <w:rPr>
          <w:rFonts w:hint="eastAsia"/>
        </w:rPr>
        <w:t xml:space="preserve">dimycocerosates (PDIM) deficiency and the loss of ATG14 in macrophages altered </w:t>
      </w:r>
    </w:p>
    <w:p w14:paraId="61F9CDF1">
      <w:pPr>
        <w:pStyle w:val="2"/>
        <w:rPr>
          <w:rFonts w:hint="eastAsia"/>
        </w:rPr>
      </w:pPr>
      <w:r>
        <w:rPr>
          <w:rFonts w:hint="eastAsia"/>
        </w:rPr>
        <w:t xml:space="preserve">promoter activity of ESX-1 components. Consistent with the dynamic nature of </w:t>
      </w:r>
    </w:p>
    <w:p w14:paraId="60246EC6">
      <w:pPr>
        <w:pStyle w:val="2"/>
        <w:rPr>
          <w:rFonts w:hint="eastAsia"/>
        </w:rPr>
      </w:pPr>
      <w:r>
        <w:rPr>
          <w:rFonts w:hint="eastAsia"/>
        </w:rPr>
        <w:t xml:space="preserve">this heterogeneity, espA promoter activity changed over time following </w:t>
      </w:r>
    </w:p>
    <w:p w14:paraId="4051555E">
      <w:pPr>
        <w:pStyle w:val="2"/>
        <w:rPr>
          <w:rFonts w:hint="eastAsia"/>
        </w:rPr>
      </w:pPr>
      <w:r>
        <w:rPr>
          <w:rFonts w:hint="eastAsia"/>
        </w:rPr>
        <w:t xml:space="preserve">phagocytosis, highlighting a temporal regulation. Extending these observations </w:t>
      </w:r>
    </w:p>
    <w:p w14:paraId="22C32EB5">
      <w:pPr>
        <w:pStyle w:val="2"/>
        <w:rPr>
          <w:rFonts w:hint="eastAsia"/>
        </w:rPr>
      </w:pPr>
      <w:r>
        <w:rPr>
          <w:rFonts w:hint="eastAsia"/>
        </w:rPr>
        <w:t xml:space="preserve">in vivo, we confirmed heterogeneous ESX-1 promoter activity in a C3HeB/FeJ mouse </w:t>
      </w:r>
    </w:p>
    <w:p w14:paraId="480A2669">
      <w:pPr>
        <w:pStyle w:val="2"/>
        <w:rPr>
          <w:rFonts w:hint="eastAsia"/>
        </w:rPr>
      </w:pPr>
      <w:r>
        <w:rPr>
          <w:rFonts w:hint="eastAsia"/>
        </w:rPr>
        <w:t xml:space="preserve">model. Together, our findings reveal underappreciated heterogeneity in Mtb gene </w:t>
      </w:r>
    </w:p>
    <w:p w14:paraId="2D6AC4F3">
      <w:pPr>
        <w:pStyle w:val="2"/>
        <w:rPr>
          <w:rFonts w:hint="eastAsia"/>
        </w:rPr>
      </w:pPr>
      <w:r>
        <w:rPr>
          <w:rFonts w:hint="eastAsia"/>
        </w:rPr>
        <w:t>expression dynamics in vitro and in vivo.</w:t>
      </w:r>
    </w:p>
    <w:p w14:paraId="64169AE7">
      <w:pPr>
        <w:pStyle w:val="2"/>
        <w:rPr>
          <w:rFonts w:hint="eastAsia"/>
        </w:rPr>
      </w:pPr>
    </w:p>
    <w:p w14:paraId="0FE92AF2">
      <w:pPr>
        <w:pStyle w:val="2"/>
        <w:rPr>
          <w:rFonts w:hint="eastAsia"/>
        </w:rPr>
      </w:pPr>
      <w:r>
        <w:rPr>
          <w:rFonts w:hint="eastAsia"/>
        </w:rPr>
        <w:t>Copyright © 2026 The Author(s). Published by Elsevier Inc. All rights reserved.</w:t>
      </w:r>
    </w:p>
    <w:p w14:paraId="686E819B">
      <w:pPr>
        <w:pStyle w:val="2"/>
        <w:rPr>
          <w:rFonts w:hint="eastAsia"/>
        </w:rPr>
      </w:pPr>
    </w:p>
    <w:p w14:paraId="7BE038D6">
      <w:pPr>
        <w:pStyle w:val="2"/>
        <w:rPr>
          <w:rFonts w:hint="eastAsia"/>
        </w:rPr>
      </w:pPr>
      <w:r>
        <w:rPr>
          <w:rFonts w:hint="eastAsia"/>
        </w:rPr>
        <w:t>DOI: 10.1016/j.crmeth.2026.101617</w:t>
      </w:r>
    </w:p>
    <w:p w14:paraId="1263F47C">
      <w:pPr>
        <w:pStyle w:val="2"/>
        <w:rPr>
          <w:rFonts w:hint="eastAsia"/>
        </w:rPr>
      </w:pPr>
      <w:r>
        <w:rPr>
          <w:rFonts w:hint="eastAsia"/>
        </w:rPr>
        <w:t>PMID: 42833215</w:t>
      </w:r>
    </w:p>
    <w:p w14:paraId="40EEF580">
      <w:pPr>
        <w:pStyle w:val="2"/>
        <w:rPr>
          <w:rFonts w:hint="eastAsia"/>
        </w:rPr>
      </w:pPr>
    </w:p>
    <w:p w14:paraId="47AADDC9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57</w:t>
      </w:r>
      <w:r>
        <w:rPr>
          <w:rFonts w:hint="eastAsia"/>
          <w:b/>
          <w:bCs/>
          <w:color w:val="FF0000"/>
        </w:rPr>
        <w:t>. Elife. 2026 Oct 5;15:RP110341. doi: 10.7554/eLife.110341.</w:t>
      </w:r>
    </w:p>
    <w:p w14:paraId="217C7047">
      <w:pPr>
        <w:pStyle w:val="2"/>
        <w:rPr>
          <w:rFonts w:hint="eastAsia"/>
        </w:rPr>
      </w:pPr>
    </w:p>
    <w:p w14:paraId="76A7D745">
      <w:pPr>
        <w:pStyle w:val="2"/>
        <w:rPr>
          <w:rFonts w:hint="eastAsia"/>
        </w:rPr>
      </w:pPr>
      <w:r>
        <w:rPr>
          <w:rFonts w:hint="eastAsia"/>
        </w:rPr>
        <w:t xml:space="preserve">Human CD1c-autoreactive T-cells recognise Mycobacterium tuberculosis-infected </w:t>
      </w:r>
    </w:p>
    <w:p w14:paraId="5E6C3A2C">
      <w:pPr>
        <w:pStyle w:val="2"/>
        <w:rPr>
          <w:rFonts w:hint="eastAsia"/>
        </w:rPr>
      </w:pPr>
      <w:r>
        <w:rPr>
          <w:rFonts w:hint="eastAsia"/>
        </w:rPr>
        <w:t>antigen-presenting cells and display cytotoxic effector programmes.</w:t>
      </w:r>
    </w:p>
    <w:p w14:paraId="23BAB48A">
      <w:pPr>
        <w:pStyle w:val="2"/>
        <w:rPr>
          <w:rFonts w:hint="eastAsia"/>
        </w:rPr>
      </w:pPr>
    </w:p>
    <w:p w14:paraId="48A078DD">
      <w:pPr>
        <w:pStyle w:val="2"/>
        <w:rPr>
          <w:rFonts w:hint="eastAsia"/>
        </w:rPr>
      </w:pPr>
      <w:r>
        <w:rPr>
          <w:rFonts w:hint="eastAsia"/>
        </w:rPr>
        <w:t xml:space="preserve">Milton M(#)(1), Farag SH(#)(1), Garay-Baquero D(1), Gullick J(1)(2), Niedobecka </w:t>
      </w:r>
    </w:p>
    <w:p w14:paraId="2DAFC231">
      <w:pPr>
        <w:pStyle w:val="2"/>
        <w:rPr>
          <w:rFonts w:hint="eastAsia"/>
        </w:rPr>
      </w:pPr>
      <w:r>
        <w:rPr>
          <w:rFonts w:hint="eastAsia"/>
        </w:rPr>
        <w:t xml:space="preserve">K(1), Burns D(1), Szoke-Kovacs R(3), Trimby-Smith P(1), Look A(1), Stopforth </w:t>
      </w:r>
    </w:p>
    <w:p w14:paraId="6C1F64E8">
      <w:pPr>
        <w:pStyle w:val="2"/>
        <w:rPr>
          <w:rFonts w:hint="eastAsia"/>
        </w:rPr>
      </w:pPr>
      <w:r>
        <w:rPr>
          <w:rFonts w:hint="eastAsia"/>
        </w:rPr>
        <w:t xml:space="preserve">R(1), Lepore M(3), Cole DK(3), Denney L(1), White A(2), Sharpe S(2), Leslie </w:t>
      </w:r>
    </w:p>
    <w:p w14:paraId="7CB00E8A">
      <w:pPr>
        <w:pStyle w:val="2"/>
        <w:rPr>
          <w:rFonts w:hint="eastAsia"/>
        </w:rPr>
      </w:pPr>
      <w:r>
        <w:rPr>
          <w:rFonts w:hint="eastAsia"/>
        </w:rPr>
        <w:t>A(4)(5)(6), Vallejo A(1)(7), Tezera L(1)(7), Elkington P(1)(7), Mansour S(1)(7).</w:t>
      </w:r>
    </w:p>
    <w:p w14:paraId="1C787599">
      <w:pPr>
        <w:pStyle w:val="2"/>
        <w:rPr>
          <w:rFonts w:hint="eastAsia"/>
        </w:rPr>
      </w:pPr>
    </w:p>
    <w:p w14:paraId="6FF5F8BE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57EC9BE9">
      <w:pPr>
        <w:pStyle w:val="2"/>
        <w:rPr>
          <w:rFonts w:hint="eastAsia"/>
        </w:rPr>
      </w:pPr>
      <w:r>
        <w:rPr>
          <w:rFonts w:hint="eastAsia"/>
        </w:rPr>
        <w:t xml:space="preserve">(1)School of Clinical and Experimental Sciences, NIHR Southampton Biomedical </w:t>
      </w:r>
    </w:p>
    <w:p w14:paraId="1197E568">
      <w:pPr>
        <w:pStyle w:val="2"/>
        <w:rPr>
          <w:rFonts w:hint="eastAsia"/>
        </w:rPr>
      </w:pPr>
      <w:r>
        <w:rPr>
          <w:rFonts w:hint="eastAsia"/>
        </w:rPr>
        <w:t xml:space="preserve">Research Centre, Faculty of Medicine, University of Southampton, Southampton, </w:t>
      </w:r>
    </w:p>
    <w:p w14:paraId="3370A545">
      <w:pPr>
        <w:pStyle w:val="2"/>
        <w:rPr>
          <w:rFonts w:hint="eastAsia"/>
        </w:rPr>
      </w:pPr>
      <w:r>
        <w:rPr>
          <w:rFonts w:hint="eastAsia"/>
        </w:rPr>
        <w:t>United Kingdom.</w:t>
      </w:r>
    </w:p>
    <w:p w14:paraId="7CAA1858">
      <w:pPr>
        <w:pStyle w:val="2"/>
        <w:rPr>
          <w:rFonts w:hint="eastAsia"/>
        </w:rPr>
      </w:pPr>
      <w:r>
        <w:rPr>
          <w:rFonts w:hint="eastAsia"/>
        </w:rPr>
        <w:t xml:space="preserve">(2)Research and Evaluation, UK Health Security Agency, Porton Down, United </w:t>
      </w:r>
    </w:p>
    <w:p w14:paraId="6D269C88">
      <w:pPr>
        <w:pStyle w:val="2"/>
        <w:rPr>
          <w:rFonts w:hint="eastAsia"/>
        </w:rPr>
      </w:pPr>
      <w:r>
        <w:rPr>
          <w:rFonts w:hint="eastAsia"/>
        </w:rPr>
        <w:t>Kingdom.</w:t>
      </w:r>
    </w:p>
    <w:p w14:paraId="0CA34038">
      <w:pPr>
        <w:pStyle w:val="2"/>
        <w:rPr>
          <w:rFonts w:hint="eastAsia"/>
        </w:rPr>
      </w:pPr>
      <w:r>
        <w:rPr>
          <w:rFonts w:hint="eastAsia"/>
        </w:rPr>
        <w:t>(3)Immunocore Limited, Abingdon, United Kingdom.</w:t>
      </w:r>
    </w:p>
    <w:p w14:paraId="67C38B4F">
      <w:pPr>
        <w:pStyle w:val="2"/>
        <w:rPr>
          <w:rFonts w:hint="eastAsia"/>
        </w:rPr>
      </w:pPr>
      <w:r>
        <w:rPr>
          <w:rFonts w:hint="eastAsia"/>
        </w:rPr>
        <w:t>(4)Africa Health Research Institute, Durban, South Africa.</w:t>
      </w:r>
    </w:p>
    <w:p w14:paraId="12C2E55B">
      <w:pPr>
        <w:pStyle w:val="2"/>
        <w:rPr>
          <w:rFonts w:hint="eastAsia"/>
        </w:rPr>
      </w:pPr>
      <w:r>
        <w:rPr>
          <w:rFonts w:hint="eastAsia"/>
        </w:rPr>
        <w:t xml:space="preserve">(5)School of Laboratory Medicine and Medical Sciences, University of </w:t>
      </w:r>
    </w:p>
    <w:p w14:paraId="55D61960">
      <w:pPr>
        <w:pStyle w:val="2"/>
        <w:rPr>
          <w:rFonts w:hint="eastAsia"/>
        </w:rPr>
      </w:pPr>
      <w:r>
        <w:rPr>
          <w:rFonts w:hint="eastAsia"/>
        </w:rPr>
        <w:t>KwaZulu-Natal, Durban, South Africa.</w:t>
      </w:r>
    </w:p>
    <w:p w14:paraId="4FE93B0E">
      <w:pPr>
        <w:pStyle w:val="2"/>
        <w:rPr>
          <w:rFonts w:hint="eastAsia"/>
        </w:rPr>
      </w:pPr>
      <w:r>
        <w:rPr>
          <w:rFonts w:hint="eastAsia"/>
        </w:rPr>
        <w:t xml:space="preserve">(6)Division of Infection and Immunity, University College London, London, United </w:t>
      </w:r>
    </w:p>
    <w:p w14:paraId="0CCCE432">
      <w:pPr>
        <w:pStyle w:val="2"/>
        <w:rPr>
          <w:rFonts w:hint="eastAsia"/>
        </w:rPr>
      </w:pPr>
      <w:r>
        <w:rPr>
          <w:rFonts w:hint="eastAsia"/>
        </w:rPr>
        <w:t>Kingdom.</w:t>
      </w:r>
    </w:p>
    <w:p w14:paraId="5C10BB73">
      <w:pPr>
        <w:pStyle w:val="2"/>
        <w:rPr>
          <w:rFonts w:hint="eastAsia"/>
        </w:rPr>
      </w:pPr>
      <w:r>
        <w:rPr>
          <w:rFonts w:hint="eastAsia"/>
        </w:rPr>
        <w:t xml:space="preserve">(7)Institute for Life Sciences, University of Southampton, Southampton, United </w:t>
      </w:r>
    </w:p>
    <w:p w14:paraId="7CE0E726">
      <w:pPr>
        <w:pStyle w:val="2"/>
        <w:rPr>
          <w:rFonts w:hint="eastAsia"/>
        </w:rPr>
      </w:pPr>
      <w:r>
        <w:rPr>
          <w:rFonts w:hint="eastAsia"/>
        </w:rPr>
        <w:t>Kingdom.</w:t>
      </w:r>
    </w:p>
    <w:p w14:paraId="7DD33280">
      <w:pPr>
        <w:pStyle w:val="2"/>
        <w:rPr>
          <w:rFonts w:hint="eastAsia"/>
        </w:rPr>
      </w:pPr>
      <w:r>
        <w:rPr>
          <w:rFonts w:hint="eastAsia"/>
        </w:rPr>
        <w:t>(#)Contributed equally</w:t>
      </w:r>
    </w:p>
    <w:p w14:paraId="58198C26">
      <w:pPr>
        <w:pStyle w:val="2"/>
        <w:rPr>
          <w:rFonts w:hint="eastAsia"/>
        </w:rPr>
      </w:pPr>
    </w:p>
    <w:p w14:paraId="21E4E845">
      <w:pPr>
        <w:pStyle w:val="2"/>
        <w:rPr>
          <w:rFonts w:hint="eastAsia"/>
        </w:rPr>
      </w:pPr>
      <w:r>
        <w:rPr>
          <w:rFonts w:hint="eastAsia"/>
        </w:rPr>
        <w:t>Update of</w:t>
      </w:r>
    </w:p>
    <w:p w14:paraId="6B3DA014">
      <w:pPr>
        <w:pStyle w:val="2"/>
        <w:rPr>
          <w:rFonts w:hint="eastAsia"/>
        </w:rPr>
      </w:pPr>
      <w:r>
        <w:rPr>
          <w:rFonts w:hint="eastAsia"/>
        </w:rPr>
        <w:t xml:space="preserve">    doi: 10.64898/2026.01.16.700025.</w:t>
      </w:r>
    </w:p>
    <w:p w14:paraId="46B0F0F7">
      <w:pPr>
        <w:pStyle w:val="2"/>
        <w:rPr>
          <w:rFonts w:hint="eastAsia"/>
        </w:rPr>
      </w:pPr>
      <w:r>
        <w:rPr>
          <w:rFonts w:hint="eastAsia"/>
        </w:rPr>
        <w:t xml:space="preserve">    doi: 10.7554/eLife.110341.1.</w:t>
      </w:r>
    </w:p>
    <w:p w14:paraId="2CDBC22D">
      <w:pPr>
        <w:pStyle w:val="2"/>
        <w:rPr>
          <w:rFonts w:hint="eastAsia"/>
        </w:rPr>
      </w:pPr>
      <w:r>
        <w:rPr>
          <w:rFonts w:hint="eastAsia"/>
        </w:rPr>
        <w:t xml:space="preserve">    doi: 10.7554/eLife.110341.2.</w:t>
      </w:r>
    </w:p>
    <w:p w14:paraId="5BAA295C">
      <w:pPr>
        <w:pStyle w:val="2"/>
        <w:rPr>
          <w:rFonts w:hint="eastAsia"/>
        </w:rPr>
      </w:pPr>
    </w:p>
    <w:p w14:paraId="31554796">
      <w:pPr>
        <w:pStyle w:val="2"/>
        <w:rPr>
          <w:rFonts w:hint="eastAsia"/>
        </w:rPr>
      </w:pPr>
      <w:r>
        <w:rPr>
          <w:rFonts w:hint="eastAsia"/>
        </w:rPr>
        <w:t xml:space="preserve">Tuberculosis (TB), caused by Mycobacterium tuberculosis (Mtb), remains the </w:t>
      </w:r>
    </w:p>
    <w:p w14:paraId="5B3B1275">
      <w:pPr>
        <w:pStyle w:val="2"/>
        <w:rPr>
          <w:rFonts w:hint="eastAsia"/>
        </w:rPr>
      </w:pPr>
      <w:r>
        <w:rPr>
          <w:rFonts w:hint="eastAsia"/>
        </w:rPr>
        <w:t xml:space="preserve">leading cause of death from infection globally yet the contribution of </w:t>
      </w:r>
    </w:p>
    <w:p w14:paraId="70826887">
      <w:pPr>
        <w:pStyle w:val="2"/>
        <w:rPr>
          <w:rFonts w:hint="eastAsia"/>
        </w:rPr>
      </w:pPr>
      <w:r>
        <w:rPr>
          <w:rFonts w:hint="eastAsia"/>
        </w:rPr>
        <w:t xml:space="preserve">non-classical T-cell pathways to human immunity remains poorly defined. </w:t>
      </w:r>
    </w:p>
    <w:p w14:paraId="1DD2A63D">
      <w:pPr>
        <w:pStyle w:val="2"/>
        <w:rPr>
          <w:rFonts w:hint="eastAsia"/>
        </w:rPr>
      </w:pPr>
      <w:r>
        <w:rPr>
          <w:rFonts w:hint="eastAsia"/>
        </w:rPr>
        <w:t xml:space="preserve">CD1c-autoreactive T-cells, which recognise self-lipids presented by the </w:t>
      </w:r>
    </w:p>
    <w:p w14:paraId="48FEF573">
      <w:pPr>
        <w:pStyle w:val="2"/>
        <w:rPr>
          <w:rFonts w:hint="eastAsia"/>
        </w:rPr>
      </w:pPr>
      <w:r>
        <w:rPr>
          <w:rFonts w:hint="eastAsia"/>
        </w:rPr>
        <w:t xml:space="preserve">antigen-presenting molecule CD1c, are frequent in human blood but their role </w:t>
      </w:r>
    </w:p>
    <w:p w14:paraId="69C12F38">
      <w:pPr>
        <w:pStyle w:val="2"/>
        <w:rPr>
          <w:rFonts w:hint="eastAsia"/>
        </w:rPr>
      </w:pPr>
      <w:r>
        <w:rPr>
          <w:rFonts w:hint="eastAsia"/>
        </w:rPr>
        <w:t xml:space="preserve">during infection remains unclear. Here, we investigate how CD1c-expressing </w:t>
      </w:r>
    </w:p>
    <w:p w14:paraId="7A764DAB">
      <w:pPr>
        <w:pStyle w:val="2"/>
        <w:rPr>
          <w:rFonts w:hint="eastAsia"/>
        </w:rPr>
      </w:pPr>
      <w:r>
        <w:rPr>
          <w:rFonts w:hint="eastAsia"/>
        </w:rPr>
        <w:t xml:space="preserve">antigen-presenting cells (APCs) and Mtb infection shape CD1c-autoreactive T-cell </w:t>
      </w:r>
    </w:p>
    <w:p w14:paraId="54C44D0D">
      <w:pPr>
        <w:pStyle w:val="2"/>
        <w:rPr>
          <w:rFonts w:hint="eastAsia"/>
        </w:rPr>
      </w:pPr>
      <w:r>
        <w:rPr>
          <w:rFonts w:hint="eastAsia"/>
        </w:rPr>
        <w:t xml:space="preserve">responses using engineered human APC systems, complemented by single-cell </w:t>
      </w:r>
    </w:p>
    <w:p w14:paraId="002A7DF9">
      <w:pPr>
        <w:pStyle w:val="2"/>
        <w:rPr>
          <w:rFonts w:hint="eastAsia"/>
        </w:rPr>
      </w:pPr>
      <w:r>
        <w:rPr>
          <w:rFonts w:hint="eastAsia"/>
        </w:rPr>
        <w:t xml:space="preserve">transcriptomic profiling to define the ex vivo phenotypic landscape of these </w:t>
      </w:r>
    </w:p>
    <w:p w14:paraId="2909F7DD">
      <w:pPr>
        <w:pStyle w:val="2"/>
        <w:rPr>
          <w:rFonts w:hint="eastAsia"/>
        </w:rPr>
      </w:pPr>
      <w:r>
        <w:rPr>
          <w:rFonts w:hint="eastAsia"/>
        </w:rPr>
        <w:t xml:space="preserve">T-cells. CD1c is present within human TB granulomas, whereas Mtb down-modulates </w:t>
      </w:r>
    </w:p>
    <w:p w14:paraId="49BDED5D">
      <w:pPr>
        <w:pStyle w:val="2"/>
        <w:rPr>
          <w:rFonts w:hint="eastAsia"/>
        </w:rPr>
      </w:pPr>
      <w:r>
        <w:rPr>
          <w:rFonts w:hint="eastAsia"/>
        </w:rPr>
        <w:t xml:space="preserve">CD1c expression on infected APCs, consistent with an immune evasion strategy. </w:t>
      </w:r>
    </w:p>
    <w:p w14:paraId="3A77966F">
      <w:pPr>
        <w:pStyle w:val="2"/>
        <w:rPr>
          <w:rFonts w:hint="eastAsia"/>
        </w:rPr>
      </w:pPr>
      <w:r>
        <w:rPr>
          <w:rFonts w:hint="eastAsia"/>
        </w:rPr>
        <w:t xml:space="preserve">CD1c-autoreactive T-cells respond more strongly to Mtb-infected CD1c+ APCs than </w:t>
      </w:r>
    </w:p>
    <w:p w14:paraId="31B5313E">
      <w:pPr>
        <w:pStyle w:val="2"/>
        <w:rPr>
          <w:rFonts w:hint="eastAsia"/>
        </w:rPr>
      </w:pPr>
      <w:r>
        <w:rPr>
          <w:rFonts w:hint="eastAsia"/>
        </w:rPr>
        <w:t xml:space="preserve">to uninfected cells, exhibiting enhanced activation, cytotoxicity, and diverse </w:t>
      </w:r>
    </w:p>
    <w:p w14:paraId="17FF4495">
      <w:pPr>
        <w:pStyle w:val="2"/>
        <w:rPr>
          <w:rFonts w:hint="eastAsia"/>
        </w:rPr>
      </w:pPr>
      <w:r>
        <w:rPr>
          <w:rFonts w:hint="eastAsia"/>
        </w:rPr>
        <w:t xml:space="preserve">cytokine secretion via CD1c-dependent recognition. Under in vitro conditions, </w:t>
      </w:r>
    </w:p>
    <w:p w14:paraId="61269791">
      <w:pPr>
        <w:pStyle w:val="2"/>
        <w:rPr>
          <w:rFonts w:hint="eastAsia"/>
        </w:rPr>
      </w:pPr>
      <w:r>
        <w:rPr>
          <w:rFonts w:hint="eastAsia"/>
        </w:rPr>
        <w:t xml:space="preserve">these T-cells reduce relative Mtb burden in infected phagocytes. Single-cell RNA </w:t>
      </w:r>
    </w:p>
    <w:p w14:paraId="2FC41A88">
      <w:pPr>
        <w:pStyle w:val="2"/>
        <w:rPr>
          <w:rFonts w:hint="eastAsia"/>
        </w:rPr>
      </w:pPr>
      <w:r>
        <w:rPr>
          <w:rFonts w:hint="eastAsia"/>
        </w:rPr>
        <w:t xml:space="preserve">sequencing reveals cytotoxic effector-memory programmes and expression of </w:t>
      </w:r>
    </w:p>
    <w:p w14:paraId="10436D2D">
      <w:pPr>
        <w:pStyle w:val="2"/>
        <w:rPr>
          <w:rFonts w:hint="eastAsia"/>
        </w:rPr>
      </w:pPr>
      <w:r>
        <w:rPr>
          <w:rFonts w:hint="eastAsia"/>
        </w:rPr>
        <w:t xml:space="preserve">antimicrobial molecules, providing a mechanistic basis for these responses. </w:t>
      </w:r>
    </w:p>
    <w:p w14:paraId="7334FD45">
      <w:pPr>
        <w:pStyle w:val="2"/>
        <w:rPr>
          <w:rFonts w:hint="eastAsia"/>
        </w:rPr>
      </w:pPr>
      <w:r>
        <w:rPr>
          <w:rFonts w:hint="eastAsia"/>
        </w:rPr>
        <w:t xml:space="preserve">Together, these findings define a human CD1c-restricted T-cell response to </w:t>
      </w:r>
    </w:p>
    <w:p w14:paraId="11179C91">
      <w:pPr>
        <w:pStyle w:val="2"/>
        <w:rPr>
          <w:rFonts w:hint="eastAsia"/>
        </w:rPr>
      </w:pPr>
      <w:r>
        <w:rPr>
          <w:rFonts w:hint="eastAsia"/>
        </w:rPr>
        <w:t xml:space="preserve">Mtb-infected APCs and identify autoreactive CD1c-restricted T-cells as a </w:t>
      </w:r>
    </w:p>
    <w:p w14:paraId="124E5A89">
      <w:pPr>
        <w:pStyle w:val="2"/>
        <w:rPr>
          <w:rFonts w:hint="eastAsia"/>
        </w:rPr>
      </w:pPr>
      <w:r>
        <w:rPr>
          <w:rFonts w:hint="eastAsia"/>
        </w:rPr>
        <w:t>candidate cellular axis for lipid-directed immunity in TB.</w:t>
      </w:r>
    </w:p>
    <w:p w14:paraId="5E59F5C5">
      <w:pPr>
        <w:pStyle w:val="2"/>
        <w:rPr>
          <w:rFonts w:hint="eastAsia"/>
        </w:rPr>
      </w:pPr>
    </w:p>
    <w:p w14:paraId="0A6F9DCA">
      <w:pPr>
        <w:pStyle w:val="2"/>
        <w:rPr>
          <w:rFonts w:hint="eastAsia"/>
        </w:rPr>
      </w:pPr>
      <w:r>
        <w:rPr>
          <w:rFonts w:hint="eastAsia"/>
        </w:rPr>
        <w:t>© 2026, Milton, Farag et al.</w:t>
      </w:r>
    </w:p>
    <w:p w14:paraId="71BB3CC6">
      <w:pPr>
        <w:pStyle w:val="2"/>
        <w:rPr>
          <w:rFonts w:hint="eastAsia"/>
        </w:rPr>
      </w:pPr>
    </w:p>
    <w:p w14:paraId="0C29D9BF">
      <w:pPr>
        <w:pStyle w:val="2"/>
        <w:rPr>
          <w:rFonts w:hint="eastAsia"/>
        </w:rPr>
      </w:pPr>
      <w:r>
        <w:rPr>
          <w:rFonts w:hint="eastAsia"/>
        </w:rPr>
        <w:t>DOI: 10.7554/eLife.110341</w:t>
      </w:r>
    </w:p>
    <w:p w14:paraId="6798EAE0">
      <w:pPr>
        <w:pStyle w:val="2"/>
        <w:rPr>
          <w:rFonts w:hint="eastAsia"/>
        </w:rPr>
      </w:pPr>
      <w:r>
        <w:rPr>
          <w:rFonts w:hint="eastAsia"/>
        </w:rPr>
        <w:t>PMCID: PMC13638199</w:t>
      </w:r>
    </w:p>
    <w:p w14:paraId="45296E83">
      <w:pPr>
        <w:pStyle w:val="2"/>
        <w:rPr>
          <w:rFonts w:hint="eastAsia"/>
        </w:rPr>
      </w:pPr>
      <w:r>
        <w:rPr>
          <w:rFonts w:hint="eastAsia"/>
        </w:rPr>
        <w:t>PMID: 42832565 [Indexed for MEDLINE]</w:t>
      </w:r>
    </w:p>
    <w:p w14:paraId="11713C10">
      <w:pPr>
        <w:pStyle w:val="2"/>
        <w:rPr>
          <w:rFonts w:hint="eastAsia"/>
        </w:rPr>
      </w:pPr>
    </w:p>
    <w:p w14:paraId="569C16FD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58</w:t>
      </w:r>
      <w:r>
        <w:rPr>
          <w:rFonts w:hint="eastAsia"/>
          <w:b/>
          <w:bCs/>
          <w:color w:val="FF0000"/>
        </w:rPr>
        <w:t xml:space="preserve">. Cell Rep. 2026 Oct 5;45(10):118078. doi: 10.1016/j.celrep.2026.118078. Online </w:t>
      </w:r>
    </w:p>
    <w:p w14:paraId="5B249B00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ahead of print.</w:t>
      </w:r>
    </w:p>
    <w:p w14:paraId="346A597E">
      <w:pPr>
        <w:pStyle w:val="2"/>
        <w:rPr>
          <w:rFonts w:hint="eastAsia"/>
        </w:rPr>
      </w:pPr>
    </w:p>
    <w:p w14:paraId="2942ADD3">
      <w:pPr>
        <w:pStyle w:val="2"/>
        <w:rPr>
          <w:rFonts w:hint="eastAsia"/>
        </w:rPr>
      </w:pPr>
      <w:r>
        <w:rPr>
          <w:rFonts w:hint="eastAsia"/>
        </w:rPr>
        <w:t xml:space="preserve">Differential formation of nitrate-responsive mycobacterial intracytoplasmic </w:t>
      </w:r>
    </w:p>
    <w:p w14:paraId="61981F49">
      <w:pPr>
        <w:pStyle w:val="2"/>
        <w:rPr>
          <w:rFonts w:hint="eastAsia"/>
        </w:rPr>
      </w:pPr>
      <w:r>
        <w:rPr>
          <w:rFonts w:hint="eastAsia"/>
        </w:rPr>
        <w:t>membranes during Mycobacterium tuberculosis infection.</w:t>
      </w:r>
    </w:p>
    <w:p w14:paraId="2E55B547">
      <w:pPr>
        <w:pStyle w:val="2"/>
        <w:rPr>
          <w:rFonts w:hint="eastAsia"/>
        </w:rPr>
      </w:pPr>
    </w:p>
    <w:p w14:paraId="2E65030B">
      <w:pPr>
        <w:pStyle w:val="2"/>
        <w:rPr>
          <w:rFonts w:hint="eastAsia"/>
        </w:rPr>
      </w:pPr>
      <w:r>
        <w:rPr>
          <w:rFonts w:hint="eastAsia"/>
        </w:rPr>
        <w:t xml:space="preserve">Keck C(1), Tachon S(2), Sayes F(3), Musiani D(4), Gianetto QG(4), Matondo M(4), </w:t>
      </w:r>
    </w:p>
    <w:p w14:paraId="0E06A4DF">
      <w:pPr>
        <w:pStyle w:val="2"/>
        <w:rPr>
          <w:rFonts w:hint="eastAsia"/>
        </w:rPr>
      </w:pPr>
      <w:r>
        <w:rPr>
          <w:rFonts w:hint="eastAsia"/>
        </w:rPr>
        <w:t>Vos M(2), Brosch R(5), Enninga J(6).</w:t>
      </w:r>
    </w:p>
    <w:p w14:paraId="7D1E5438">
      <w:pPr>
        <w:pStyle w:val="2"/>
        <w:rPr>
          <w:rFonts w:hint="eastAsia"/>
        </w:rPr>
      </w:pPr>
    </w:p>
    <w:p w14:paraId="5DF348D9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39C373AF">
      <w:pPr>
        <w:pStyle w:val="2"/>
        <w:rPr>
          <w:rFonts w:hint="eastAsia"/>
        </w:rPr>
      </w:pPr>
      <w:r>
        <w:rPr>
          <w:rFonts w:hint="eastAsia"/>
        </w:rPr>
        <w:t xml:space="preserve">(1)Institut Pasteur, Université Paris Cité, Dynamics of Host-Pathogen </w:t>
      </w:r>
    </w:p>
    <w:p w14:paraId="636A841E">
      <w:pPr>
        <w:pStyle w:val="2"/>
        <w:rPr>
          <w:rFonts w:hint="eastAsia"/>
        </w:rPr>
      </w:pPr>
      <w:r>
        <w:rPr>
          <w:rFonts w:hint="eastAsia"/>
        </w:rPr>
        <w:t>Interactions Unit, CNRS UMR, 3691 Paris, France.</w:t>
      </w:r>
    </w:p>
    <w:p w14:paraId="5399EE82">
      <w:pPr>
        <w:pStyle w:val="2"/>
        <w:rPr>
          <w:rFonts w:hint="eastAsia"/>
        </w:rPr>
      </w:pPr>
      <w:r>
        <w:rPr>
          <w:rFonts w:hint="eastAsia"/>
        </w:rPr>
        <w:t xml:space="preserve">(2)Institut Pasteur, Université Paris Cité, NanoImaging Core Facility, Paris, </w:t>
      </w:r>
    </w:p>
    <w:p w14:paraId="0C5AA2DC">
      <w:pPr>
        <w:pStyle w:val="2"/>
        <w:rPr>
          <w:rFonts w:hint="eastAsia"/>
        </w:rPr>
      </w:pPr>
      <w:r>
        <w:rPr>
          <w:rFonts w:hint="eastAsia"/>
        </w:rPr>
        <w:t>France.</w:t>
      </w:r>
    </w:p>
    <w:p w14:paraId="59EB0831">
      <w:pPr>
        <w:pStyle w:val="2"/>
        <w:rPr>
          <w:rFonts w:hint="eastAsia"/>
        </w:rPr>
      </w:pPr>
      <w:r>
        <w:rPr>
          <w:rFonts w:hint="eastAsia"/>
        </w:rPr>
        <w:t xml:space="preserve">(3)Institut Pasteur, Université Paris Cité, Unit for Integrated Mycobacterial </w:t>
      </w:r>
    </w:p>
    <w:p w14:paraId="42760DFD">
      <w:pPr>
        <w:pStyle w:val="2"/>
        <w:rPr>
          <w:rFonts w:hint="eastAsia"/>
        </w:rPr>
      </w:pPr>
      <w:r>
        <w:rPr>
          <w:rFonts w:hint="eastAsia"/>
        </w:rPr>
        <w:t>Pathogenomics, CNRS UMR, 6047 Paris, France.</w:t>
      </w:r>
    </w:p>
    <w:p w14:paraId="0688E794">
      <w:pPr>
        <w:pStyle w:val="2"/>
        <w:rPr>
          <w:rFonts w:hint="eastAsia"/>
        </w:rPr>
      </w:pPr>
      <w:r>
        <w:rPr>
          <w:rFonts w:hint="eastAsia"/>
        </w:rPr>
        <w:t xml:space="preserve">(4)Institut Pasteur, Université Paris Cité, Proteomics Platform, Mass </w:t>
      </w:r>
    </w:p>
    <w:p w14:paraId="150AB58E">
      <w:pPr>
        <w:pStyle w:val="2"/>
        <w:rPr>
          <w:rFonts w:hint="eastAsia"/>
        </w:rPr>
      </w:pPr>
      <w:r>
        <w:rPr>
          <w:rFonts w:hint="eastAsia"/>
        </w:rPr>
        <w:t>Spectrometry for Biology Unit, UAR CNRS, 2024 Paris, France.</w:t>
      </w:r>
    </w:p>
    <w:p w14:paraId="0C4D94E6">
      <w:pPr>
        <w:pStyle w:val="2"/>
        <w:rPr>
          <w:rFonts w:hint="eastAsia"/>
        </w:rPr>
      </w:pPr>
      <w:r>
        <w:rPr>
          <w:rFonts w:hint="eastAsia"/>
        </w:rPr>
        <w:t xml:space="preserve">(5)Institut Pasteur, Université Paris Cité, Unit for Integrated Mycobacterial </w:t>
      </w:r>
    </w:p>
    <w:p w14:paraId="21B6AE26">
      <w:pPr>
        <w:pStyle w:val="2"/>
        <w:rPr>
          <w:rFonts w:hint="eastAsia"/>
        </w:rPr>
      </w:pPr>
      <w:r>
        <w:rPr>
          <w:rFonts w:hint="eastAsia"/>
        </w:rPr>
        <w:t xml:space="preserve">Pathogenomics, CNRS UMR, 6047 Paris, France. Electronic address: </w:t>
      </w:r>
    </w:p>
    <w:p w14:paraId="5FFBF34C">
      <w:pPr>
        <w:pStyle w:val="2"/>
        <w:rPr>
          <w:rFonts w:hint="eastAsia"/>
        </w:rPr>
      </w:pPr>
      <w:r>
        <w:rPr>
          <w:rFonts w:hint="eastAsia"/>
        </w:rPr>
        <w:t>roland.brosch@pasteur.fr.</w:t>
      </w:r>
    </w:p>
    <w:p w14:paraId="0982932D">
      <w:pPr>
        <w:pStyle w:val="2"/>
        <w:rPr>
          <w:rFonts w:hint="eastAsia"/>
        </w:rPr>
      </w:pPr>
      <w:r>
        <w:rPr>
          <w:rFonts w:hint="eastAsia"/>
        </w:rPr>
        <w:t xml:space="preserve">(6)Institut Pasteur, Université Paris Cité, Dynamics of Host-Pathogen </w:t>
      </w:r>
    </w:p>
    <w:p w14:paraId="138555D7">
      <w:pPr>
        <w:pStyle w:val="2"/>
        <w:rPr>
          <w:rFonts w:hint="eastAsia"/>
        </w:rPr>
      </w:pPr>
      <w:r>
        <w:rPr>
          <w:rFonts w:hint="eastAsia"/>
        </w:rPr>
        <w:t xml:space="preserve">Interactions Unit, CNRS UMR, 3691 Paris, France. Electronic address: </w:t>
      </w:r>
    </w:p>
    <w:p w14:paraId="34E64A66">
      <w:pPr>
        <w:pStyle w:val="2"/>
        <w:rPr>
          <w:rFonts w:hint="eastAsia"/>
        </w:rPr>
      </w:pPr>
      <w:r>
        <w:rPr>
          <w:rFonts w:hint="eastAsia"/>
        </w:rPr>
        <w:t>jost.enninga@pasteur.fr.</w:t>
      </w:r>
    </w:p>
    <w:p w14:paraId="2521E0CA">
      <w:pPr>
        <w:pStyle w:val="2"/>
        <w:rPr>
          <w:rFonts w:hint="eastAsia"/>
        </w:rPr>
      </w:pPr>
    </w:p>
    <w:p w14:paraId="59E70F51">
      <w:pPr>
        <w:pStyle w:val="2"/>
        <w:rPr>
          <w:rFonts w:hint="eastAsia"/>
        </w:rPr>
      </w:pPr>
      <w:r>
        <w:rPr>
          <w:rFonts w:hint="eastAsia"/>
        </w:rPr>
        <w:t xml:space="preserve">Subcellular compartmentalization of metabolic processes is a main feature of </w:t>
      </w:r>
    </w:p>
    <w:p w14:paraId="15E5E775">
      <w:pPr>
        <w:pStyle w:val="2"/>
        <w:rPr>
          <w:rFonts w:hint="eastAsia"/>
        </w:rPr>
      </w:pPr>
      <w:r>
        <w:rPr>
          <w:rFonts w:hint="eastAsia"/>
        </w:rPr>
        <w:t xml:space="preserve">prokaryotic and eukaryotic architecture. Environmental bacteria generate </w:t>
      </w:r>
    </w:p>
    <w:p w14:paraId="59840132">
      <w:pPr>
        <w:pStyle w:val="2"/>
        <w:rPr>
          <w:rFonts w:hint="eastAsia"/>
        </w:rPr>
      </w:pPr>
      <w:r>
        <w:rPr>
          <w:rFonts w:hint="eastAsia"/>
        </w:rPr>
        <w:t xml:space="preserve">intracytoplasmic membranes (ICMs) as a crucial strategy to adapt their </w:t>
      </w:r>
    </w:p>
    <w:p w14:paraId="47376B69">
      <w:pPr>
        <w:pStyle w:val="2"/>
        <w:rPr>
          <w:rFonts w:hint="eastAsia"/>
        </w:rPr>
      </w:pPr>
      <w:r>
        <w:rPr>
          <w:rFonts w:hint="eastAsia"/>
        </w:rPr>
        <w:t xml:space="preserve">metabolism to environmental changes. While pathogenic intracellular bacteria </w:t>
      </w:r>
    </w:p>
    <w:p w14:paraId="16DA4102">
      <w:pPr>
        <w:pStyle w:val="2"/>
        <w:rPr>
          <w:rFonts w:hint="eastAsia"/>
        </w:rPr>
      </w:pPr>
      <w:r>
        <w:rPr>
          <w:rFonts w:hint="eastAsia"/>
        </w:rPr>
        <w:t xml:space="preserve">also perceive various stressful stimuli during host interactions, the subsequent </w:t>
      </w:r>
    </w:p>
    <w:p w14:paraId="4E3D154E">
      <w:pPr>
        <w:pStyle w:val="2"/>
        <w:rPr>
          <w:rFonts w:hint="eastAsia"/>
        </w:rPr>
      </w:pPr>
      <w:r>
        <w:rPr>
          <w:rFonts w:hint="eastAsia"/>
        </w:rPr>
        <w:t xml:space="preserve">re-organization of their internal architecture has not been explored. Using </w:t>
      </w:r>
    </w:p>
    <w:p w14:paraId="6ECCECEF">
      <w:pPr>
        <w:pStyle w:val="2"/>
        <w:rPr>
          <w:rFonts w:hint="eastAsia"/>
        </w:rPr>
      </w:pPr>
      <w:r>
        <w:rPr>
          <w:rFonts w:hint="eastAsia"/>
        </w:rPr>
        <w:t xml:space="preserve">cryo-electron tomography, we show that Mycobacterium tuberculosis (Mtb), a major </w:t>
      </w:r>
    </w:p>
    <w:p w14:paraId="0CA49D61">
      <w:pPr>
        <w:pStyle w:val="2"/>
        <w:rPr>
          <w:rFonts w:hint="eastAsia"/>
        </w:rPr>
      </w:pPr>
      <w:r>
        <w:rPr>
          <w:rFonts w:hint="eastAsia"/>
        </w:rPr>
        <w:t xml:space="preserve">human pathogen, is able to form ICMs outside and inside host cells in a </w:t>
      </w:r>
    </w:p>
    <w:p w14:paraId="252CE987">
      <w:pPr>
        <w:pStyle w:val="2"/>
        <w:rPr>
          <w:rFonts w:hint="eastAsia"/>
        </w:rPr>
      </w:pPr>
      <w:r>
        <w:rPr>
          <w:rFonts w:hint="eastAsia"/>
        </w:rPr>
        <w:t xml:space="preserve">strain-dependent manner. We characterize these Mycobacterial intracytoplasmic </w:t>
      </w:r>
    </w:p>
    <w:p w14:paraId="475A4940">
      <w:pPr>
        <w:pStyle w:val="2"/>
        <w:rPr>
          <w:rFonts w:hint="eastAsia"/>
        </w:rPr>
      </w:pPr>
      <w:r>
        <w:rPr>
          <w:rFonts w:hint="eastAsia"/>
        </w:rPr>
        <w:t xml:space="preserve">Membranes (MIMs) as nitrate-induced structures. Furthermore, we uncover that MIM </w:t>
      </w:r>
    </w:p>
    <w:p w14:paraId="0BEFC055">
      <w:pPr>
        <w:pStyle w:val="2"/>
        <w:rPr>
          <w:rFonts w:hint="eastAsia"/>
        </w:rPr>
      </w:pPr>
      <w:r>
        <w:rPr>
          <w:rFonts w:hint="eastAsia"/>
        </w:rPr>
        <w:t xml:space="preserve">formation in Mtb during macrophage infection correlates with limited cellular </w:t>
      </w:r>
    </w:p>
    <w:p w14:paraId="62128493">
      <w:pPr>
        <w:pStyle w:val="2"/>
        <w:rPr>
          <w:rFonts w:hint="eastAsia"/>
        </w:rPr>
      </w:pPr>
      <w:r>
        <w:rPr>
          <w:rFonts w:hint="eastAsia"/>
        </w:rPr>
        <w:t xml:space="preserve">inflammatory responses. Our findings reveal a cytoplasmic structure in Mtb and </w:t>
      </w:r>
    </w:p>
    <w:p w14:paraId="1F305957">
      <w:pPr>
        <w:pStyle w:val="2"/>
        <w:rPr>
          <w:rFonts w:hint="eastAsia"/>
        </w:rPr>
      </w:pPr>
      <w:r>
        <w:rPr>
          <w:rFonts w:hint="eastAsia"/>
        </w:rPr>
        <w:t xml:space="preserve">link it to a functional mechanism that enables the bacterium to adapt to its </w:t>
      </w:r>
    </w:p>
    <w:p w14:paraId="596EC480">
      <w:pPr>
        <w:pStyle w:val="2"/>
        <w:rPr>
          <w:rFonts w:hint="eastAsia"/>
        </w:rPr>
      </w:pPr>
      <w:r>
        <w:rPr>
          <w:rFonts w:hint="eastAsia"/>
        </w:rPr>
        <w:t>intracellular niche.</w:t>
      </w:r>
    </w:p>
    <w:p w14:paraId="13BA9964">
      <w:pPr>
        <w:pStyle w:val="2"/>
        <w:rPr>
          <w:rFonts w:hint="eastAsia"/>
        </w:rPr>
      </w:pPr>
    </w:p>
    <w:p w14:paraId="1DEF8564">
      <w:pPr>
        <w:pStyle w:val="2"/>
        <w:rPr>
          <w:rFonts w:hint="eastAsia"/>
        </w:rPr>
      </w:pPr>
      <w:r>
        <w:rPr>
          <w:rFonts w:hint="eastAsia"/>
        </w:rPr>
        <w:t>Copyright © 2026 The Author(s). Published by Elsevier Inc. All rights reserved.</w:t>
      </w:r>
    </w:p>
    <w:p w14:paraId="009C6429">
      <w:pPr>
        <w:pStyle w:val="2"/>
        <w:rPr>
          <w:rFonts w:hint="eastAsia"/>
        </w:rPr>
      </w:pPr>
    </w:p>
    <w:p w14:paraId="3659A791">
      <w:pPr>
        <w:pStyle w:val="2"/>
        <w:rPr>
          <w:rFonts w:hint="eastAsia"/>
        </w:rPr>
      </w:pPr>
      <w:r>
        <w:rPr>
          <w:rFonts w:hint="eastAsia"/>
        </w:rPr>
        <w:t>DOI: 10.1016/j.celrep.2026.118078</w:t>
      </w:r>
    </w:p>
    <w:p w14:paraId="0FB951B7">
      <w:pPr>
        <w:pStyle w:val="2"/>
        <w:rPr>
          <w:rFonts w:hint="eastAsia"/>
        </w:rPr>
      </w:pPr>
      <w:r>
        <w:rPr>
          <w:rFonts w:hint="eastAsia"/>
        </w:rPr>
        <w:t>PMID: 42832335</w:t>
      </w:r>
    </w:p>
    <w:p w14:paraId="611C80FB">
      <w:pPr>
        <w:pStyle w:val="2"/>
        <w:rPr>
          <w:rFonts w:hint="eastAsia"/>
        </w:rPr>
      </w:pPr>
    </w:p>
    <w:p w14:paraId="173243C3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59</w:t>
      </w:r>
      <w:r>
        <w:rPr>
          <w:rFonts w:hint="eastAsia"/>
          <w:b/>
          <w:bCs/>
          <w:color w:val="FF0000"/>
        </w:rPr>
        <w:t>. Braz J Microbiol. 2026 Oct 5;57(1):284. doi: 10.1007/s42770-026-02077-6.</w:t>
      </w:r>
    </w:p>
    <w:p w14:paraId="5E0A68E6">
      <w:pPr>
        <w:pStyle w:val="2"/>
        <w:rPr>
          <w:rFonts w:hint="eastAsia"/>
        </w:rPr>
      </w:pPr>
    </w:p>
    <w:p w14:paraId="19CED976">
      <w:pPr>
        <w:pStyle w:val="2"/>
        <w:rPr>
          <w:rFonts w:hint="eastAsia"/>
        </w:rPr>
      </w:pPr>
      <w:r>
        <w:rPr>
          <w:rFonts w:hint="eastAsia"/>
        </w:rPr>
        <w:t xml:space="preserve">Computational introspection of impact of mutation A90V and A90E in DNA gyrase a </w:t>
      </w:r>
    </w:p>
    <w:p w14:paraId="0408325F">
      <w:pPr>
        <w:pStyle w:val="2"/>
        <w:rPr>
          <w:rFonts w:hint="eastAsia"/>
        </w:rPr>
      </w:pPr>
      <w:r>
        <w:rPr>
          <w:rFonts w:hint="eastAsia"/>
        </w:rPr>
        <w:t>of Mycobacterium tuberculosis in developing resistance against Delafloxacin.</w:t>
      </w:r>
    </w:p>
    <w:p w14:paraId="7B48A75F">
      <w:pPr>
        <w:pStyle w:val="2"/>
        <w:rPr>
          <w:rFonts w:hint="eastAsia"/>
        </w:rPr>
      </w:pPr>
    </w:p>
    <w:p w14:paraId="252FCA2C">
      <w:pPr>
        <w:pStyle w:val="2"/>
        <w:rPr>
          <w:rFonts w:hint="eastAsia"/>
        </w:rPr>
      </w:pPr>
      <w:r>
        <w:rPr>
          <w:rFonts w:hint="eastAsia"/>
        </w:rPr>
        <w:t>Rai SK(1), Singh DB(2), Yadav PK(1), Pandey S(3), Singh S(4).</w:t>
      </w:r>
    </w:p>
    <w:p w14:paraId="08616616">
      <w:pPr>
        <w:pStyle w:val="2"/>
        <w:rPr>
          <w:rFonts w:hint="eastAsia"/>
        </w:rPr>
      </w:pPr>
    </w:p>
    <w:p w14:paraId="217598E0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2E7B186B">
      <w:pPr>
        <w:pStyle w:val="2"/>
        <w:rPr>
          <w:rFonts w:hint="eastAsia"/>
        </w:rPr>
      </w:pPr>
      <w:r>
        <w:rPr>
          <w:rFonts w:hint="eastAsia"/>
        </w:rPr>
        <w:t xml:space="preserve">(1)Department of Computational Biology and Bioinformatics, Jacob Institute of </w:t>
      </w:r>
    </w:p>
    <w:p w14:paraId="0F85D3DE">
      <w:pPr>
        <w:pStyle w:val="2"/>
        <w:rPr>
          <w:rFonts w:hint="eastAsia"/>
        </w:rPr>
      </w:pPr>
      <w:r>
        <w:rPr>
          <w:rFonts w:hint="eastAsia"/>
        </w:rPr>
        <w:t xml:space="preserve">Biotechnology and Bioengineering, Sam Higginbottom University of Agriculture </w:t>
      </w:r>
    </w:p>
    <w:p w14:paraId="198A20BC">
      <w:pPr>
        <w:pStyle w:val="2"/>
        <w:rPr>
          <w:rFonts w:hint="eastAsia"/>
        </w:rPr>
      </w:pPr>
      <w:r>
        <w:rPr>
          <w:rFonts w:hint="eastAsia"/>
        </w:rPr>
        <w:t>Technology and Sciences, Prayagraj, U.P, 211007, India.</w:t>
      </w:r>
    </w:p>
    <w:p w14:paraId="72526610">
      <w:pPr>
        <w:pStyle w:val="2"/>
        <w:rPr>
          <w:rFonts w:hint="eastAsia"/>
        </w:rPr>
      </w:pPr>
      <w:r>
        <w:rPr>
          <w:rFonts w:hint="eastAsia"/>
        </w:rPr>
        <w:t xml:space="preserve">(2)Department of Biotechnology, Siddharth University, Kapilvastu, Siddharth </w:t>
      </w:r>
    </w:p>
    <w:p w14:paraId="60F29E40">
      <w:pPr>
        <w:pStyle w:val="2"/>
        <w:rPr>
          <w:rFonts w:hint="eastAsia"/>
        </w:rPr>
      </w:pPr>
      <w:r>
        <w:rPr>
          <w:rFonts w:hint="eastAsia"/>
        </w:rPr>
        <w:t>Nagar, U.P, 272202, India. answer.dev@gmail.com.</w:t>
      </w:r>
    </w:p>
    <w:p w14:paraId="3FE9EBD2">
      <w:pPr>
        <w:pStyle w:val="2"/>
        <w:rPr>
          <w:rFonts w:hint="eastAsia"/>
        </w:rPr>
      </w:pPr>
      <w:r>
        <w:rPr>
          <w:rFonts w:hint="eastAsia"/>
        </w:rPr>
        <w:t xml:space="preserve">(3)INSACOG Genomics &amp; Molecular Epidemiology Unit, National Center for Disease </w:t>
      </w:r>
    </w:p>
    <w:p w14:paraId="3B22401F">
      <w:pPr>
        <w:pStyle w:val="2"/>
        <w:rPr>
          <w:rFonts w:hint="eastAsia"/>
        </w:rPr>
      </w:pPr>
      <w:r>
        <w:rPr>
          <w:rFonts w:hint="eastAsia"/>
        </w:rPr>
        <w:t>Control (NCDC), Delhi, India.</w:t>
      </w:r>
    </w:p>
    <w:p w14:paraId="638A0A91">
      <w:pPr>
        <w:pStyle w:val="2"/>
        <w:rPr>
          <w:rFonts w:hint="eastAsia"/>
        </w:rPr>
      </w:pPr>
      <w:r>
        <w:rPr>
          <w:rFonts w:hint="eastAsia"/>
        </w:rPr>
        <w:t xml:space="preserve">(4)Department of Computational Biology and Bioinformatics, Jacob Institute of </w:t>
      </w:r>
    </w:p>
    <w:p w14:paraId="0B8EF459">
      <w:pPr>
        <w:pStyle w:val="2"/>
        <w:rPr>
          <w:rFonts w:hint="eastAsia"/>
        </w:rPr>
      </w:pPr>
      <w:r>
        <w:rPr>
          <w:rFonts w:hint="eastAsia"/>
        </w:rPr>
        <w:t xml:space="preserve">Biotechnology and Bioengineering, Sam Higginbottom University of Agriculture </w:t>
      </w:r>
    </w:p>
    <w:p w14:paraId="178BB52D">
      <w:pPr>
        <w:pStyle w:val="2"/>
        <w:rPr>
          <w:rFonts w:hint="eastAsia"/>
        </w:rPr>
      </w:pPr>
      <w:r>
        <w:rPr>
          <w:rFonts w:hint="eastAsia"/>
        </w:rPr>
        <w:t xml:space="preserve">Technology and Sciences, Prayagraj, U.P, 211007, India. </w:t>
      </w:r>
    </w:p>
    <w:p w14:paraId="091924EB">
      <w:pPr>
        <w:pStyle w:val="2"/>
        <w:rPr>
          <w:rFonts w:hint="eastAsia"/>
        </w:rPr>
      </w:pPr>
      <w:r>
        <w:rPr>
          <w:rFonts w:hint="eastAsia"/>
        </w:rPr>
        <w:t>satendra.singh@shiats.edu.in.</w:t>
      </w:r>
    </w:p>
    <w:p w14:paraId="7A643051">
      <w:pPr>
        <w:pStyle w:val="2"/>
        <w:rPr>
          <w:rFonts w:hint="eastAsia"/>
        </w:rPr>
      </w:pPr>
    </w:p>
    <w:p w14:paraId="5444E051">
      <w:pPr>
        <w:pStyle w:val="2"/>
        <w:rPr>
          <w:rFonts w:hint="eastAsia"/>
        </w:rPr>
      </w:pPr>
      <w:r>
        <w:rPr>
          <w:rFonts w:hint="eastAsia"/>
        </w:rPr>
        <w:t xml:space="preserve">Quinolone group antibiotics have proven to be an effective drug against </w:t>
      </w:r>
    </w:p>
    <w:p w14:paraId="0FD6F39A">
      <w:pPr>
        <w:pStyle w:val="2"/>
        <w:rPr>
          <w:rFonts w:hint="eastAsia"/>
        </w:rPr>
      </w:pPr>
      <w:r>
        <w:rPr>
          <w:rFonts w:hint="eastAsia"/>
        </w:rPr>
        <w:t xml:space="preserve">Mycobacterium tuberculosis. However, point mutation in DNA gyrase, one of the </w:t>
      </w:r>
    </w:p>
    <w:p w14:paraId="50F6D981">
      <w:pPr>
        <w:pStyle w:val="2"/>
        <w:rPr>
          <w:rFonts w:hint="eastAsia"/>
        </w:rPr>
      </w:pPr>
      <w:r>
        <w:rPr>
          <w:rFonts w:hint="eastAsia"/>
        </w:rPr>
        <w:t xml:space="preserve">primary targets for quinolone antibiotics, has led to conformational alterations </w:t>
      </w:r>
    </w:p>
    <w:p w14:paraId="6279D5BA">
      <w:pPr>
        <w:pStyle w:val="2"/>
        <w:rPr>
          <w:rFonts w:hint="eastAsia"/>
        </w:rPr>
      </w:pPr>
      <w:r>
        <w:rPr>
          <w:rFonts w:hint="eastAsia"/>
        </w:rPr>
        <w:t xml:space="preserve">in the binding sites, leading to a change in drug pharmacodynamics. This has </w:t>
      </w:r>
    </w:p>
    <w:p w14:paraId="4FDE47EB">
      <w:pPr>
        <w:pStyle w:val="2"/>
        <w:rPr>
          <w:rFonts w:hint="eastAsia"/>
        </w:rPr>
      </w:pPr>
      <w:r>
        <w:rPr>
          <w:rFonts w:hint="eastAsia"/>
        </w:rPr>
        <w:t xml:space="preserve">contributed to the development of drug-resistant strains such as </w:t>
      </w:r>
    </w:p>
    <w:p w14:paraId="6E996F8E">
      <w:pPr>
        <w:pStyle w:val="2"/>
        <w:rPr>
          <w:rFonts w:hint="eastAsia"/>
        </w:rPr>
      </w:pPr>
      <w:r>
        <w:rPr>
          <w:rFonts w:hint="eastAsia"/>
        </w:rPr>
        <w:t xml:space="preserve">multidrug-resistant strains (MDR) and an extreme drug-resistant strains (XDR). </w:t>
      </w:r>
    </w:p>
    <w:p w14:paraId="179A7EEF">
      <w:pPr>
        <w:pStyle w:val="2"/>
        <w:rPr>
          <w:rFonts w:hint="eastAsia"/>
        </w:rPr>
      </w:pPr>
      <w:r>
        <w:rPr>
          <w:rFonts w:hint="eastAsia"/>
        </w:rPr>
        <w:t xml:space="preserve">In this study, our objective was to find the impact of mutation A90V and A90E on </w:t>
      </w:r>
    </w:p>
    <w:p w14:paraId="33A4BF04">
      <w:pPr>
        <w:pStyle w:val="2"/>
        <w:rPr>
          <w:rFonts w:hint="eastAsia"/>
        </w:rPr>
      </w:pPr>
      <w:r>
        <w:rPr>
          <w:rFonts w:hint="eastAsia"/>
        </w:rPr>
        <w:t xml:space="preserve">DNA Gyrase A of Mycobacterium tuberculosis. Ten quinolone antibiotics were </w:t>
      </w:r>
    </w:p>
    <w:p w14:paraId="77CED28E">
      <w:pPr>
        <w:pStyle w:val="2"/>
        <w:rPr>
          <w:rFonts w:hint="eastAsia"/>
        </w:rPr>
      </w:pPr>
      <w:r>
        <w:rPr>
          <w:rFonts w:hint="eastAsia"/>
        </w:rPr>
        <w:t xml:space="preserve">docked with DNA gyrase (3ILW_wild) to find the antibiotic with the highest </w:t>
      </w:r>
    </w:p>
    <w:p w14:paraId="403EFB4D">
      <w:pPr>
        <w:pStyle w:val="2"/>
        <w:rPr>
          <w:rFonts w:hint="eastAsia"/>
        </w:rPr>
      </w:pPr>
      <w:r>
        <w:rPr>
          <w:rFonts w:hint="eastAsia"/>
        </w:rPr>
        <w:t xml:space="preserve">binding affinity and favorable interactions. Delafloxacin forms a stable energy </w:t>
      </w:r>
    </w:p>
    <w:p w14:paraId="0DF5292F">
      <w:pPr>
        <w:pStyle w:val="2"/>
        <w:rPr>
          <w:rFonts w:hint="eastAsia"/>
        </w:rPr>
      </w:pPr>
      <w:r>
        <w:rPr>
          <w:rFonts w:hint="eastAsia"/>
        </w:rPr>
        <w:t xml:space="preserve">complex with - 8.6 kcal/mol, among all docked quinolone antibiotics. Two-point </w:t>
      </w:r>
    </w:p>
    <w:p w14:paraId="030ED9CE">
      <w:pPr>
        <w:pStyle w:val="2"/>
        <w:rPr>
          <w:rFonts w:hint="eastAsia"/>
        </w:rPr>
      </w:pPr>
      <w:r>
        <w:rPr>
          <w:rFonts w:hint="eastAsia"/>
        </w:rPr>
        <w:t xml:space="preserve">mutation A90E and A90V at position 90 were introduced in the 3ILW_wild model, </w:t>
      </w:r>
    </w:p>
    <w:p w14:paraId="133FDB33">
      <w:pPr>
        <w:pStyle w:val="2"/>
        <w:rPr>
          <w:rFonts w:hint="eastAsia"/>
        </w:rPr>
      </w:pPr>
      <w:r>
        <w:rPr>
          <w:rFonts w:hint="eastAsia"/>
        </w:rPr>
        <w:t xml:space="preserve">and generated mutant models 3ILW_A90E and 3ILW_A90V and were docked again with </w:t>
      </w:r>
    </w:p>
    <w:p w14:paraId="29A4873A">
      <w:pPr>
        <w:pStyle w:val="2"/>
        <w:rPr>
          <w:rFonts w:hint="eastAsia"/>
        </w:rPr>
      </w:pPr>
      <w:r>
        <w:rPr>
          <w:rFonts w:hint="eastAsia"/>
        </w:rPr>
        <w:t xml:space="preserve">the Delafloxacin to observe the changes in interaction due to mutation. A </w:t>
      </w:r>
    </w:p>
    <w:p w14:paraId="67D1BC62">
      <w:pPr>
        <w:pStyle w:val="2"/>
        <w:rPr>
          <w:rFonts w:hint="eastAsia"/>
        </w:rPr>
      </w:pPr>
      <w:r>
        <w:rPr>
          <w:rFonts w:hint="eastAsia"/>
        </w:rPr>
        <w:t xml:space="preserve">comparative molecular dynamics simulation study for the complex of Delafloxacin </w:t>
      </w:r>
    </w:p>
    <w:p w14:paraId="346D6862">
      <w:pPr>
        <w:pStyle w:val="2"/>
        <w:rPr>
          <w:rFonts w:hint="eastAsia"/>
        </w:rPr>
      </w:pPr>
      <w:r>
        <w:rPr>
          <w:rFonts w:hint="eastAsia"/>
        </w:rPr>
        <w:t xml:space="preserve">with 3ILW_wild, 3ILW_A90E, and 3ILW_A90V were conducted for 100ns to observe the </w:t>
      </w:r>
    </w:p>
    <w:p w14:paraId="476E4924">
      <w:pPr>
        <w:pStyle w:val="2"/>
        <w:rPr>
          <w:rFonts w:hint="eastAsia"/>
        </w:rPr>
      </w:pPr>
      <w:r>
        <w:rPr>
          <w:rFonts w:hint="eastAsia"/>
        </w:rPr>
        <w:t xml:space="preserve">conformational changes, fluctuations, compactness, and binding pattern. </w:t>
      </w:r>
    </w:p>
    <w:p w14:paraId="44A18F52">
      <w:pPr>
        <w:pStyle w:val="2"/>
        <w:rPr>
          <w:rFonts w:hint="eastAsia"/>
        </w:rPr>
      </w:pPr>
      <w:r>
        <w:rPr>
          <w:rFonts w:hint="eastAsia"/>
        </w:rPr>
        <w:t xml:space="preserve">Structural dynamics due to the mutations A90V and A90E, and its effect on the </w:t>
      </w:r>
    </w:p>
    <w:p w14:paraId="791E3406">
      <w:pPr>
        <w:pStyle w:val="2"/>
        <w:rPr>
          <w:rFonts w:hint="eastAsia"/>
        </w:rPr>
      </w:pPr>
      <w:r>
        <w:rPr>
          <w:rFonts w:hint="eastAsia"/>
        </w:rPr>
        <w:t xml:space="preserve">shape and geometry of the Delafloxacin binding site of DNA gyrase before and </w:t>
      </w:r>
    </w:p>
    <w:p w14:paraId="2E9675D2">
      <w:pPr>
        <w:pStyle w:val="2"/>
        <w:rPr>
          <w:rFonts w:hint="eastAsia"/>
        </w:rPr>
      </w:pPr>
      <w:r>
        <w:rPr>
          <w:rFonts w:hint="eastAsia"/>
        </w:rPr>
        <w:t xml:space="preserve">after the mutation, can help in understanding the mechanism behind resistance </w:t>
      </w:r>
    </w:p>
    <w:p w14:paraId="75B5882E">
      <w:pPr>
        <w:pStyle w:val="2"/>
        <w:rPr>
          <w:rFonts w:hint="eastAsia"/>
        </w:rPr>
      </w:pPr>
      <w:r>
        <w:rPr>
          <w:rFonts w:hint="eastAsia"/>
        </w:rPr>
        <w:t>and also in developing novel, swift-acting antibiotics with better efficacy.</w:t>
      </w:r>
    </w:p>
    <w:p w14:paraId="5B32006B">
      <w:pPr>
        <w:pStyle w:val="2"/>
        <w:rPr>
          <w:rFonts w:hint="eastAsia"/>
        </w:rPr>
      </w:pPr>
    </w:p>
    <w:p w14:paraId="3A26B06C">
      <w:pPr>
        <w:pStyle w:val="2"/>
        <w:rPr>
          <w:rFonts w:hint="eastAsia"/>
        </w:rPr>
      </w:pPr>
      <w:r>
        <w:rPr>
          <w:rFonts w:hint="eastAsia"/>
        </w:rPr>
        <w:t xml:space="preserve">© 2026. The Author(s) under exclusive licence to Sociedade Brasileira de </w:t>
      </w:r>
    </w:p>
    <w:p w14:paraId="49EF2310">
      <w:pPr>
        <w:pStyle w:val="2"/>
        <w:rPr>
          <w:rFonts w:hint="eastAsia"/>
        </w:rPr>
      </w:pPr>
      <w:r>
        <w:rPr>
          <w:rFonts w:hint="eastAsia"/>
        </w:rPr>
        <w:t>Microbiologia.</w:t>
      </w:r>
    </w:p>
    <w:p w14:paraId="5EFFA3E9">
      <w:pPr>
        <w:pStyle w:val="2"/>
        <w:rPr>
          <w:rFonts w:hint="eastAsia"/>
        </w:rPr>
      </w:pPr>
    </w:p>
    <w:p w14:paraId="0EB7AC26">
      <w:pPr>
        <w:pStyle w:val="2"/>
        <w:rPr>
          <w:rFonts w:hint="eastAsia"/>
        </w:rPr>
      </w:pPr>
      <w:r>
        <w:rPr>
          <w:rFonts w:hint="eastAsia"/>
        </w:rPr>
        <w:t>DOI: 10.1007/s42770-026-02077-6</w:t>
      </w:r>
    </w:p>
    <w:p w14:paraId="45E15F81">
      <w:pPr>
        <w:pStyle w:val="2"/>
        <w:rPr>
          <w:rFonts w:hint="eastAsia"/>
        </w:rPr>
      </w:pPr>
      <w:r>
        <w:rPr>
          <w:rFonts w:hint="eastAsia"/>
        </w:rPr>
        <w:t>PMCID: PMC13638977</w:t>
      </w:r>
    </w:p>
    <w:p w14:paraId="638156A5">
      <w:pPr>
        <w:pStyle w:val="2"/>
        <w:rPr>
          <w:rFonts w:hint="eastAsia"/>
        </w:rPr>
      </w:pPr>
      <w:r>
        <w:rPr>
          <w:rFonts w:hint="eastAsia"/>
        </w:rPr>
        <w:t>PMID: 42832124 [Indexed for MEDLINE]</w:t>
      </w:r>
    </w:p>
    <w:p w14:paraId="7EB95A2E">
      <w:pPr>
        <w:pStyle w:val="2"/>
        <w:rPr>
          <w:rFonts w:hint="eastAsia"/>
        </w:rPr>
      </w:pPr>
    </w:p>
    <w:p w14:paraId="02218256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60</w:t>
      </w:r>
      <w:r>
        <w:rPr>
          <w:rFonts w:hint="eastAsia"/>
          <w:b/>
          <w:bCs/>
          <w:color w:val="FF0000"/>
        </w:rPr>
        <w:t>. Dermatol Pract Concept. 2026 Jul 31;16(3). doi: 10.5826/dpc.1603a6580.</w:t>
      </w:r>
    </w:p>
    <w:p w14:paraId="25E6F955">
      <w:pPr>
        <w:pStyle w:val="2"/>
        <w:rPr>
          <w:rFonts w:hint="eastAsia"/>
        </w:rPr>
      </w:pPr>
    </w:p>
    <w:p w14:paraId="7D16EB71">
      <w:pPr>
        <w:pStyle w:val="2"/>
        <w:rPr>
          <w:rFonts w:hint="eastAsia"/>
        </w:rPr>
      </w:pPr>
      <w:r>
        <w:rPr>
          <w:rFonts w:hint="eastAsia"/>
        </w:rPr>
        <w:t>Cutaneous Tuberculosis: A Dermatologic Masquerader Not to Be Overlooked.</w:t>
      </w:r>
    </w:p>
    <w:p w14:paraId="3F2588D2">
      <w:pPr>
        <w:pStyle w:val="2"/>
        <w:rPr>
          <w:rFonts w:hint="eastAsia"/>
        </w:rPr>
      </w:pPr>
    </w:p>
    <w:p w14:paraId="5A0B4E7E">
      <w:pPr>
        <w:pStyle w:val="2"/>
        <w:rPr>
          <w:rFonts w:hint="eastAsia"/>
        </w:rPr>
      </w:pPr>
      <w:r>
        <w:rPr>
          <w:rFonts w:hint="eastAsia"/>
        </w:rPr>
        <w:t>Toplu SA(1), Altunisik N(2).</w:t>
      </w:r>
    </w:p>
    <w:p w14:paraId="40D70025">
      <w:pPr>
        <w:pStyle w:val="2"/>
        <w:rPr>
          <w:rFonts w:hint="eastAsia"/>
        </w:rPr>
      </w:pPr>
    </w:p>
    <w:p w14:paraId="5EA4F17A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051A5EF5">
      <w:pPr>
        <w:pStyle w:val="2"/>
        <w:rPr>
          <w:rFonts w:hint="eastAsia"/>
        </w:rPr>
      </w:pPr>
      <w:r>
        <w:rPr>
          <w:rFonts w:hint="eastAsia"/>
        </w:rPr>
        <w:t xml:space="preserve">(1)Inonu University, Department of Infectious Diseases and Clinical Microbiology </w:t>
      </w:r>
    </w:p>
    <w:p w14:paraId="4B04460E">
      <w:pPr>
        <w:pStyle w:val="2"/>
        <w:rPr>
          <w:rFonts w:hint="eastAsia"/>
        </w:rPr>
      </w:pPr>
      <w:r>
        <w:rPr>
          <w:rFonts w:hint="eastAsia"/>
        </w:rPr>
        <w:t>Malatya, Turkey.</w:t>
      </w:r>
    </w:p>
    <w:p w14:paraId="0CEBB528">
      <w:pPr>
        <w:pStyle w:val="2"/>
        <w:rPr>
          <w:rFonts w:hint="eastAsia"/>
        </w:rPr>
      </w:pPr>
      <w:r>
        <w:rPr>
          <w:rFonts w:hint="eastAsia"/>
        </w:rPr>
        <w:t>(2)Inonu University, Department of Dermatology, Malatya, Turkey.</w:t>
      </w:r>
    </w:p>
    <w:p w14:paraId="74BF840F">
      <w:pPr>
        <w:pStyle w:val="2"/>
        <w:rPr>
          <w:rFonts w:hint="eastAsia"/>
        </w:rPr>
      </w:pPr>
    </w:p>
    <w:p w14:paraId="7DCDAF4C">
      <w:pPr>
        <w:pStyle w:val="2"/>
        <w:rPr>
          <w:rFonts w:hint="eastAsia"/>
        </w:rPr>
      </w:pPr>
      <w:r>
        <w:rPr>
          <w:rFonts w:hint="eastAsia"/>
        </w:rPr>
        <w:t>DOI: 10.5826/dpc.1603a6580</w:t>
      </w:r>
    </w:p>
    <w:p w14:paraId="3480F063">
      <w:pPr>
        <w:pStyle w:val="2"/>
        <w:rPr>
          <w:rFonts w:hint="eastAsia"/>
        </w:rPr>
      </w:pPr>
      <w:r>
        <w:rPr>
          <w:rFonts w:hint="eastAsia"/>
        </w:rPr>
        <w:t>PMID: 42858397</w:t>
      </w:r>
    </w:p>
    <w:p w14:paraId="7A806F00">
      <w:pPr>
        <w:pStyle w:val="2"/>
        <w:rPr>
          <w:rFonts w:hint="eastAsia"/>
        </w:rPr>
      </w:pPr>
    </w:p>
    <w:p w14:paraId="042C3B35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61</w:t>
      </w:r>
      <w:r>
        <w:rPr>
          <w:rFonts w:hint="eastAsia"/>
          <w:b/>
          <w:bCs/>
          <w:color w:val="FF0000"/>
        </w:rPr>
        <w:t>. J Infect Dev Ctries. 2026 Sep 30;20(9):1415-1419. doi: 10.3855/jidc.21594.</w:t>
      </w:r>
    </w:p>
    <w:p w14:paraId="4759DE6F">
      <w:pPr>
        <w:pStyle w:val="2"/>
        <w:rPr>
          <w:rFonts w:hint="eastAsia"/>
        </w:rPr>
      </w:pPr>
    </w:p>
    <w:p w14:paraId="3C8C1C17">
      <w:pPr>
        <w:pStyle w:val="2"/>
        <w:rPr>
          <w:rFonts w:hint="eastAsia"/>
        </w:rPr>
      </w:pPr>
      <w:r>
        <w:rPr>
          <w:rFonts w:hint="eastAsia"/>
        </w:rPr>
        <w:t xml:space="preserve">Delayed Diagnosis of Leprosy in a Patient with Pulmonary Tuberculosis: Lessons </w:t>
      </w:r>
    </w:p>
    <w:p w14:paraId="634B2511">
      <w:pPr>
        <w:pStyle w:val="2"/>
        <w:rPr>
          <w:rFonts w:hint="eastAsia"/>
        </w:rPr>
      </w:pPr>
      <w:r>
        <w:rPr>
          <w:rFonts w:hint="eastAsia"/>
        </w:rPr>
        <w:t>for Clinical Practice.</w:t>
      </w:r>
    </w:p>
    <w:p w14:paraId="486BF5F4">
      <w:pPr>
        <w:pStyle w:val="2"/>
        <w:rPr>
          <w:rFonts w:hint="eastAsia"/>
        </w:rPr>
      </w:pPr>
    </w:p>
    <w:p w14:paraId="0B2CC9EF">
      <w:pPr>
        <w:pStyle w:val="2"/>
        <w:rPr>
          <w:rFonts w:hint="eastAsia"/>
        </w:rPr>
      </w:pPr>
      <w:r>
        <w:rPr>
          <w:rFonts w:hint="eastAsia"/>
        </w:rPr>
        <w:t>Reza NR(1), Nathania M(1), Dewi KR(1), Prakoeswa CR(2).</w:t>
      </w:r>
    </w:p>
    <w:p w14:paraId="673968A4">
      <w:pPr>
        <w:pStyle w:val="2"/>
        <w:rPr>
          <w:rFonts w:hint="eastAsia"/>
        </w:rPr>
      </w:pPr>
    </w:p>
    <w:p w14:paraId="1E7CB31B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7B619EC1">
      <w:pPr>
        <w:pStyle w:val="2"/>
        <w:rPr>
          <w:rFonts w:hint="eastAsia"/>
        </w:rPr>
      </w:pPr>
      <w:r>
        <w:rPr>
          <w:rFonts w:hint="eastAsia"/>
        </w:rPr>
        <w:t xml:space="preserve">(1)Department of Dermatology, Venereology and Aesthetic, Universitas Airlangga </w:t>
      </w:r>
    </w:p>
    <w:p w14:paraId="59D61A95">
      <w:pPr>
        <w:pStyle w:val="2"/>
        <w:rPr>
          <w:rFonts w:hint="eastAsia"/>
        </w:rPr>
      </w:pPr>
      <w:r>
        <w:rPr>
          <w:rFonts w:hint="eastAsia"/>
        </w:rPr>
        <w:t>Hospital, Surabaya, Indonesia.</w:t>
      </w:r>
    </w:p>
    <w:p w14:paraId="6439B856">
      <w:pPr>
        <w:pStyle w:val="2"/>
        <w:rPr>
          <w:rFonts w:hint="eastAsia"/>
        </w:rPr>
      </w:pPr>
      <w:r>
        <w:rPr>
          <w:rFonts w:hint="eastAsia"/>
        </w:rPr>
        <w:t xml:space="preserve">(2)Department of Dermatology, Venereology and Aesthetic, Dr Soetomo General </w:t>
      </w:r>
    </w:p>
    <w:p w14:paraId="339A871C">
      <w:pPr>
        <w:pStyle w:val="2"/>
        <w:rPr>
          <w:rFonts w:hint="eastAsia"/>
        </w:rPr>
      </w:pPr>
      <w:r>
        <w:rPr>
          <w:rFonts w:hint="eastAsia"/>
        </w:rPr>
        <w:t>Academic Hospital, Surabaya, Indonesia.</w:t>
      </w:r>
    </w:p>
    <w:p w14:paraId="1842BA9B">
      <w:pPr>
        <w:pStyle w:val="2"/>
        <w:rPr>
          <w:rFonts w:hint="eastAsia"/>
        </w:rPr>
      </w:pPr>
    </w:p>
    <w:p w14:paraId="3A46177F">
      <w:pPr>
        <w:pStyle w:val="2"/>
        <w:rPr>
          <w:rFonts w:hint="eastAsia"/>
        </w:rPr>
      </w:pPr>
      <w:r>
        <w:rPr>
          <w:rFonts w:hint="eastAsia"/>
          <w:b/>
          <w:bCs/>
        </w:rPr>
        <w:t>INTRODUCTION:</w:t>
      </w:r>
      <w:r>
        <w:rPr>
          <w:rFonts w:hint="eastAsia"/>
        </w:rPr>
        <w:t xml:space="preserve"> Tuberculosis and leprosy are infections caused by the </w:t>
      </w:r>
    </w:p>
    <w:p w14:paraId="48DC3AED">
      <w:pPr>
        <w:pStyle w:val="2"/>
        <w:rPr>
          <w:rFonts w:hint="eastAsia"/>
        </w:rPr>
      </w:pPr>
      <w:r>
        <w:rPr>
          <w:rFonts w:hint="eastAsia"/>
        </w:rPr>
        <w:t xml:space="preserve">Mycobacterium sp. Both are significant health problems in Indonesia. Delayed </w:t>
      </w:r>
    </w:p>
    <w:p w14:paraId="5A29FF72">
      <w:pPr>
        <w:pStyle w:val="2"/>
        <w:rPr>
          <w:rFonts w:hint="eastAsia"/>
        </w:rPr>
      </w:pPr>
      <w:r>
        <w:rPr>
          <w:rFonts w:hint="eastAsia"/>
        </w:rPr>
        <w:t>diagnosis is still common in leprosy, causing disability.</w:t>
      </w:r>
    </w:p>
    <w:p w14:paraId="329FA81E">
      <w:pPr>
        <w:pStyle w:val="2"/>
        <w:rPr>
          <w:rFonts w:hint="eastAsia"/>
        </w:rPr>
      </w:pPr>
      <w:r>
        <w:rPr>
          <w:rFonts w:hint="eastAsia"/>
          <w:b/>
          <w:bCs/>
        </w:rPr>
        <w:t>CASE PRESENTATION:</w:t>
      </w:r>
      <w:r>
        <w:rPr>
          <w:rFonts w:hint="eastAsia"/>
        </w:rPr>
        <w:t xml:space="preserve"> A 51-year-old with low socioeconomic status complained of </w:t>
      </w:r>
    </w:p>
    <w:p w14:paraId="0DDE9A45">
      <w:pPr>
        <w:pStyle w:val="2"/>
        <w:rPr>
          <w:rFonts w:hint="eastAsia"/>
        </w:rPr>
      </w:pPr>
      <w:r>
        <w:rPr>
          <w:rFonts w:hint="eastAsia"/>
        </w:rPr>
        <w:t xml:space="preserve">cough, weight loss, and decreased appetite for more than a month. Anamnesis, </w:t>
      </w:r>
    </w:p>
    <w:p w14:paraId="2EBB6B4E">
      <w:pPr>
        <w:pStyle w:val="2"/>
        <w:rPr>
          <w:rFonts w:hint="eastAsia"/>
        </w:rPr>
      </w:pPr>
      <w:r>
        <w:rPr>
          <w:rFonts w:hint="eastAsia"/>
        </w:rPr>
        <w:t xml:space="preserve">physical examination, sputum, and Chest X-ray were consistent with pulmonary </w:t>
      </w:r>
    </w:p>
    <w:p w14:paraId="3DC1843D">
      <w:pPr>
        <w:pStyle w:val="2"/>
        <w:rPr>
          <w:rFonts w:hint="eastAsia"/>
        </w:rPr>
      </w:pPr>
      <w:r>
        <w:rPr>
          <w:rFonts w:hint="eastAsia"/>
        </w:rPr>
        <w:t xml:space="preserve">tuberculosis. The 10-month-old skin lesions became more inflamed one week after </w:t>
      </w:r>
    </w:p>
    <w:p w14:paraId="7265A3BD">
      <w:pPr>
        <w:pStyle w:val="2"/>
        <w:rPr>
          <w:rFonts w:hint="eastAsia"/>
        </w:rPr>
      </w:pPr>
      <w:r>
        <w:rPr>
          <w:rFonts w:hint="eastAsia"/>
        </w:rPr>
        <w:t xml:space="preserve">antituberculosis treatment. Dermatological examination revealed hyperesthetic </w:t>
      </w:r>
    </w:p>
    <w:p w14:paraId="57096DD3">
      <w:pPr>
        <w:pStyle w:val="2"/>
        <w:rPr>
          <w:rFonts w:hint="eastAsia"/>
        </w:rPr>
      </w:pPr>
      <w:r>
        <w:rPr>
          <w:rFonts w:hint="eastAsia"/>
        </w:rPr>
        <w:t xml:space="preserve">lesions, enlargement of peripheral nerves, and negative Acid-Fast bacilli (AFB) </w:t>
      </w:r>
    </w:p>
    <w:p w14:paraId="004499DD">
      <w:pPr>
        <w:pStyle w:val="2"/>
        <w:rPr>
          <w:rFonts w:hint="eastAsia"/>
        </w:rPr>
      </w:pPr>
      <w:r>
        <w:rPr>
          <w:rFonts w:hint="eastAsia"/>
        </w:rPr>
        <w:t xml:space="preserve">results. He was diagnosed with multibacillary leprosy, type 1 reaction, grade 2 </w:t>
      </w:r>
    </w:p>
    <w:p w14:paraId="43F9C56F">
      <w:pPr>
        <w:pStyle w:val="2"/>
        <w:rPr>
          <w:rFonts w:hint="eastAsia"/>
        </w:rPr>
      </w:pPr>
      <w:r>
        <w:rPr>
          <w:rFonts w:hint="eastAsia"/>
        </w:rPr>
        <w:t xml:space="preserve">disability, and pulmonary tuberculosis. Treatment includes antituberculosis </w:t>
      </w:r>
    </w:p>
    <w:p w14:paraId="07965828">
      <w:pPr>
        <w:pStyle w:val="2"/>
        <w:rPr>
          <w:rFonts w:hint="eastAsia"/>
        </w:rPr>
      </w:pPr>
      <w:r>
        <w:rPr>
          <w:rFonts w:hint="eastAsia"/>
        </w:rPr>
        <w:t>therapy, Multidrug Therapy, Multibasilar and corticosteroids.</w:t>
      </w:r>
    </w:p>
    <w:p w14:paraId="2EA494DC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DISCUSSION: </w:t>
      </w:r>
      <w:r>
        <w:rPr>
          <w:rFonts w:hint="eastAsia"/>
        </w:rPr>
        <w:t xml:space="preserve">A complex relationship existed between socioeconomic factors, </w:t>
      </w:r>
    </w:p>
    <w:p w14:paraId="568CA6D7">
      <w:pPr>
        <w:pStyle w:val="2"/>
        <w:rPr>
          <w:rFonts w:hint="eastAsia"/>
        </w:rPr>
      </w:pPr>
      <w:r>
        <w:rPr>
          <w:rFonts w:hint="eastAsia"/>
        </w:rPr>
        <w:t xml:space="preserve">environment, nutritional status, access to health services, and the intricate </w:t>
      </w:r>
    </w:p>
    <w:p w14:paraId="1D300438">
      <w:pPr>
        <w:pStyle w:val="2"/>
        <w:rPr>
          <w:rFonts w:hint="eastAsia"/>
        </w:rPr>
      </w:pPr>
      <w:r>
        <w:rPr>
          <w:rFonts w:hint="eastAsia"/>
        </w:rPr>
        <w:t xml:space="preserve">host immune system in co-infection with Mycobacterium leprae and M. </w:t>
      </w:r>
    </w:p>
    <w:p w14:paraId="50AD9833">
      <w:pPr>
        <w:pStyle w:val="2"/>
        <w:rPr>
          <w:rFonts w:hint="eastAsia"/>
        </w:rPr>
      </w:pPr>
      <w:r>
        <w:rPr>
          <w:rFonts w:hint="eastAsia"/>
        </w:rPr>
        <w:t xml:space="preserve">tuberculosis, which affected the occurrence of delays in our case. The host </w:t>
      </w:r>
    </w:p>
    <w:p w14:paraId="59BB7E55">
      <w:pPr>
        <w:pStyle w:val="2"/>
        <w:rPr>
          <w:rFonts w:hint="eastAsia"/>
        </w:rPr>
      </w:pPr>
      <w:r>
        <w:rPr>
          <w:rFonts w:hint="eastAsia"/>
        </w:rPr>
        <w:t xml:space="preserve">immune response to TB treatment likely triggered recognition of leprosy through </w:t>
      </w:r>
    </w:p>
    <w:p w14:paraId="7FCC38BD">
      <w:pPr>
        <w:pStyle w:val="2"/>
        <w:rPr>
          <w:rFonts w:hint="eastAsia"/>
        </w:rPr>
      </w:pPr>
      <w:r>
        <w:rPr>
          <w:rFonts w:hint="eastAsia"/>
        </w:rPr>
        <w:t xml:space="preserve">an immune-modulatory mechanism, manifesting as a type 1 reaction. This </w:t>
      </w:r>
    </w:p>
    <w:p w14:paraId="2CF6BEC9">
      <w:pPr>
        <w:pStyle w:val="2"/>
        <w:rPr>
          <w:rFonts w:hint="eastAsia"/>
        </w:rPr>
      </w:pPr>
      <w:r>
        <w:rPr>
          <w:rFonts w:hint="eastAsia"/>
        </w:rPr>
        <w:t xml:space="preserve">complexity also presented a challenge in the diagnosis and treatment process, </w:t>
      </w:r>
    </w:p>
    <w:p w14:paraId="57EF8BE2">
      <w:pPr>
        <w:pStyle w:val="2"/>
        <w:rPr>
          <w:rFonts w:hint="eastAsia"/>
        </w:rPr>
      </w:pPr>
      <w:r>
        <w:rPr>
          <w:rFonts w:hint="eastAsia"/>
        </w:rPr>
        <w:t>especially in developing countries.</w:t>
      </w:r>
    </w:p>
    <w:p w14:paraId="2F135567">
      <w:pPr>
        <w:pStyle w:val="2"/>
        <w:rPr>
          <w:rFonts w:hint="eastAsia"/>
        </w:rPr>
      </w:pPr>
      <w:r>
        <w:rPr>
          <w:rFonts w:hint="eastAsia"/>
          <w:b/>
          <w:bCs/>
        </w:rPr>
        <w:t>CONCLUSIONS:</w:t>
      </w:r>
      <w:r>
        <w:rPr>
          <w:rFonts w:hint="eastAsia"/>
        </w:rPr>
        <w:t xml:space="preserve"> This case illustrated the complexity of tuberculosis and leprosy </w:t>
      </w:r>
    </w:p>
    <w:p w14:paraId="2B25CDB5">
      <w:pPr>
        <w:pStyle w:val="2"/>
        <w:rPr>
          <w:rFonts w:hint="eastAsia"/>
        </w:rPr>
      </w:pPr>
      <w:r>
        <w:rPr>
          <w:rFonts w:hint="eastAsia"/>
        </w:rPr>
        <w:t xml:space="preserve">infections, particularly in terms of risk factors, immune system interactions, </w:t>
      </w:r>
    </w:p>
    <w:p w14:paraId="3115EAA6">
      <w:pPr>
        <w:pStyle w:val="2"/>
        <w:rPr>
          <w:rFonts w:hint="eastAsia"/>
        </w:rPr>
      </w:pPr>
      <w:r>
        <w:rPr>
          <w:rFonts w:hint="eastAsia"/>
        </w:rPr>
        <w:t xml:space="preserve">and therapeutic interactions. Comprehensive management is important to prevent </w:t>
      </w:r>
    </w:p>
    <w:p w14:paraId="793CEBDC">
      <w:pPr>
        <w:pStyle w:val="2"/>
        <w:rPr>
          <w:rFonts w:hint="eastAsia"/>
        </w:rPr>
      </w:pPr>
      <w:r>
        <w:rPr>
          <w:rFonts w:hint="eastAsia"/>
        </w:rPr>
        <w:t xml:space="preserve">delays in diagnosis prevent complications such as disability, and reduce the </w:t>
      </w:r>
    </w:p>
    <w:p w14:paraId="1105F582">
      <w:pPr>
        <w:pStyle w:val="2"/>
        <w:rPr>
          <w:rFonts w:hint="eastAsia"/>
        </w:rPr>
      </w:pPr>
      <w:r>
        <w:rPr>
          <w:rFonts w:hint="eastAsia"/>
        </w:rPr>
        <w:t>risk of transmission of both diseases in the community.</w:t>
      </w:r>
    </w:p>
    <w:p w14:paraId="6ADB607B">
      <w:pPr>
        <w:pStyle w:val="2"/>
        <w:rPr>
          <w:rFonts w:hint="eastAsia"/>
        </w:rPr>
      </w:pPr>
    </w:p>
    <w:p w14:paraId="73182907">
      <w:pPr>
        <w:pStyle w:val="2"/>
        <w:rPr>
          <w:rFonts w:hint="eastAsia"/>
        </w:rPr>
      </w:pPr>
      <w:r>
        <w:rPr>
          <w:rFonts w:hint="eastAsia"/>
        </w:rPr>
        <w:t xml:space="preserve">Copyright (c) 2026 Novianti R Reza, Margaretha Nathania, Karunia R Dewi, Cita RS </w:t>
      </w:r>
    </w:p>
    <w:p w14:paraId="1215590A">
      <w:pPr>
        <w:pStyle w:val="2"/>
        <w:rPr>
          <w:rFonts w:hint="eastAsia"/>
        </w:rPr>
      </w:pPr>
      <w:r>
        <w:rPr>
          <w:rFonts w:hint="eastAsia"/>
        </w:rPr>
        <w:t>Prakoeswa.</w:t>
      </w:r>
    </w:p>
    <w:p w14:paraId="7DE78A64">
      <w:pPr>
        <w:pStyle w:val="2"/>
        <w:rPr>
          <w:rFonts w:hint="eastAsia"/>
        </w:rPr>
      </w:pPr>
    </w:p>
    <w:p w14:paraId="088A0F61">
      <w:pPr>
        <w:pStyle w:val="2"/>
        <w:rPr>
          <w:rFonts w:hint="eastAsia"/>
        </w:rPr>
      </w:pPr>
      <w:r>
        <w:rPr>
          <w:rFonts w:hint="eastAsia"/>
        </w:rPr>
        <w:t>DOI: 10.3855/jidc.21594</w:t>
      </w:r>
    </w:p>
    <w:p w14:paraId="0433A414">
      <w:pPr>
        <w:pStyle w:val="2"/>
        <w:rPr>
          <w:rFonts w:hint="eastAsia"/>
        </w:rPr>
      </w:pPr>
      <w:r>
        <w:rPr>
          <w:rFonts w:hint="eastAsia"/>
        </w:rPr>
        <w:t>PMID: 42858343 [Indexed for MEDLINE]</w:t>
      </w:r>
    </w:p>
    <w:p w14:paraId="1E90BB97">
      <w:pPr>
        <w:pStyle w:val="2"/>
        <w:rPr>
          <w:rFonts w:hint="eastAsia"/>
        </w:rPr>
      </w:pPr>
    </w:p>
    <w:p w14:paraId="3E8B00B0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62</w:t>
      </w:r>
      <w:r>
        <w:rPr>
          <w:rFonts w:hint="eastAsia"/>
          <w:b/>
          <w:bCs/>
          <w:color w:val="FF0000"/>
        </w:rPr>
        <w:t xml:space="preserve">. J Taibah Univ Med Sci. 2026 Sep 28;21(5):1007-1028. doi: </w:t>
      </w:r>
    </w:p>
    <w:p w14:paraId="72DA9D1E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10.1016/j.jtumed.2026.09.003. eCollection 2026 Oct.</w:t>
      </w:r>
    </w:p>
    <w:p w14:paraId="79905F30">
      <w:pPr>
        <w:pStyle w:val="2"/>
        <w:rPr>
          <w:rFonts w:hint="eastAsia"/>
        </w:rPr>
      </w:pPr>
    </w:p>
    <w:p w14:paraId="714E988F">
      <w:pPr>
        <w:pStyle w:val="2"/>
        <w:rPr>
          <w:rFonts w:hint="eastAsia"/>
        </w:rPr>
      </w:pPr>
      <w:r>
        <w:rPr>
          <w:rFonts w:hint="eastAsia"/>
        </w:rPr>
        <w:t xml:space="preserve">Prevalence and burden of HIV-TB co-infection among pregnant women: A systematic </w:t>
      </w:r>
    </w:p>
    <w:p w14:paraId="277E4A03">
      <w:pPr>
        <w:pStyle w:val="2"/>
        <w:rPr>
          <w:rFonts w:hint="eastAsia"/>
        </w:rPr>
      </w:pPr>
      <w:r>
        <w:rPr>
          <w:rFonts w:hint="eastAsia"/>
        </w:rPr>
        <w:t>review and meta-analysis.</w:t>
      </w:r>
    </w:p>
    <w:p w14:paraId="7ED026E4">
      <w:pPr>
        <w:pStyle w:val="2"/>
        <w:rPr>
          <w:rFonts w:hint="eastAsia"/>
        </w:rPr>
      </w:pPr>
    </w:p>
    <w:p w14:paraId="64725FFF">
      <w:pPr>
        <w:pStyle w:val="2"/>
        <w:rPr>
          <w:rFonts w:hint="eastAsia"/>
        </w:rPr>
      </w:pPr>
      <w:r>
        <w:rPr>
          <w:rFonts w:hint="eastAsia"/>
        </w:rPr>
        <w:t xml:space="preserve">Oso TA(1), Okesanya OJ(1)(2)(3), Adebayo UO(1)(3)(4)(5)(6), Obadeyi KB(1), </w:t>
      </w:r>
    </w:p>
    <w:p w14:paraId="2CDED9DA">
      <w:pPr>
        <w:pStyle w:val="2"/>
        <w:rPr>
          <w:rFonts w:hint="eastAsia"/>
        </w:rPr>
      </w:pPr>
      <w:r>
        <w:rPr>
          <w:rFonts w:hint="eastAsia"/>
        </w:rPr>
        <w:t xml:space="preserve">Adewole PD(7), Ahmed MM(8)(9), Ayelaagbe OB(1), Ogundele AB(1), Ayankola AK(10), </w:t>
      </w:r>
    </w:p>
    <w:p w14:paraId="6827D1DF">
      <w:pPr>
        <w:pStyle w:val="2"/>
        <w:rPr>
          <w:rFonts w:hint="eastAsia"/>
        </w:rPr>
      </w:pPr>
      <w:r>
        <w:rPr>
          <w:rFonts w:hint="eastAsia"/>
        </w:rPr>
        <w:t>Oso OJ(11), Ukoaka BM(12), Lucero-Prisno DE 3rd(13)(14)(15).</w:t>
      </w:r>
    </w:p>
    <w:p w14:paraId="0EDA0961">
      <w:pPr>
        <w:pStyle w:val="2"/>
        <w:rPr>
          <w:rFonts w:hint="eastAsia"/>
        </w:rPr>
      </w:pPr>
    </w:p>
    <w:p w14:paraId="5D999E5F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5BABEC06">
      <w:pPr>
        <w:pStyle w:val="2"/>
        <w:rPr>
          <w:rFonts w:hint="eastAsia"/>
        </w:rPr>
      </w:pPr>
      <w:r>
        <w:rPr>
          <w:rFonts w:hint="eastAsia"/>
        </w:rPr>
        <w:t xml:space="preserve">(1)Department of Medical Laboratory Science, Neuropsychiatric Hospital, </w:t>
      </w:r>
    </w:p>
    <w:p w14:paraId="401813B5">
      <w:pPr>
        <w:pStyle w:val="2"/>
        <w:rPr>
          <w:rFonts w:hint="eastAsia"/>
        </w:rPr>
      </w:pPr>
      <w:r>
        <w:rPr>
          <w:rFonts w:hint="eastAsia"/>
        </w:rPr>
        <w:t>Abeokuta, Nigeria.</w:t>
      </w:r>
    </w:p>
    <w:p w14:paraId="7BBFF4E7">
      <w:pPr>
        <w:pStyle w:val="2"/>
        <w:rPr>
          <w:rFonts w:hint="eastAsia"/>
        </w:rPr>
      </w:pPr>
      <w:r>
        <w:rPr>
          <w:rFonts w:hint="eastAsia"/>
        </w:rPr>
        <w:t xml:space="preserve">(2)Faculty of Medicine, Department of Public Health and Maritime Transport, </w:t>
      </w:r>
    </w:p>
    <w:p w14:paraId="41C23397">
      <w:pPr>
        <w:pStyle w:val="2"/>
        <w:rPr>
          <w:rFonts w:hint="eastAsia"/>
        </w:rPr>
      </w:pPr>
      <w:r>
        <w:rPr>
          <w:rFonts w:hint="eastAsia"/>
        </w:rPr>
        <w:t>University of Thessaly, Volos, Greece.</w:t>
      </w:r>
    </w:p>
    <w:p w14:paraId="42471F23">
      <w:pPr>
        <w:pStyle w:val="2"/>
        <w:rPr>
          <w:rFonts w:hint="eastAsia"/>
        </w:rPr>
      </w:pPr>
      <w:r>
        <w:rPr>
          <w:rFonts w:hint="eastAsia"/>
        </w:rPr>
        <w:t xml:space="preserve">(3)Department of Public Health, Daffodil International University, Dhaka, </w:t>
      </w:r>
    </w:p>
    <w:p w14:paraId="1DA84AB1">
      <w:pPr>
        <w:pStyle w:val="2"/>
        <w:rPr>
          <w:rFonts w:hint="eastAsia"/>
        </w:rPr>
      </w:pPr>
      <w:r>
        <w:rPr>
          <w:rFonts w:hint="eastAsia"/>
        </w:rPr>
        <w:t>Bangladesh.</w:t>
      </w:r>
    </w:p>
    <w:p w14:paraId="3CBBAE99">
      <w:pPr>
        <w:pStyle w:val="2"/>
        <w:rPr>
          <w:rFonts w:hint="eastAsia"/>
        </w:rPr>
      </w:pPr>
      <w:r>
        <w:rPr>
          <w:rFonts w:hint="eastAsia"/>
        </w:rPr>
        <w:t xml:space="preserve">(4)Department of Medical Laboratory Services, Federal University of Health </w:t>
      </w:r>
    </w:p>
    <w:p w14:paraId="36324E75">
      <w:pPr>
        <w:pStyle w:val="2"/>
        <w:rPr>
          <w:rFonts w:hint="eastAsia"/>
        </w:rPr>
      </w:pPr>
      <w:r>
        <w:rPr>
          <w:rFonts w:hint="eastAsia"/>
        </w:rPr>
        <w:t>Sciences Teaching Hospital, Nigeria.</w:t>
      </w:r>
    </w:p>
    <w:p w14:paraId="48357F98">
      <w:pPr>
        <w:pStyle w:val="2"/>
        <w:rPr>
          <w:rFonts w:hint="eastAsia"/>
        </w:rPr>
      </w:pPr>
      <w:r>
        <w:rPr>
          <w:rFonts w:hint="eastAsia"/>
        </w:rPr>
        <w:t>(5)Department of Digital Health, Global Health Focus Africa, Kigali, Rwanda.</w:t>
      </w:r>
    </w:p>
    <w:p w14:paraId="59D01D76">
      <w:pPr>
        <w:pStyle w:val="2"/>
        <w:rPr>
          <w:rFonts w:hint="eastAsia"/>
        </w:rPr>
      </w:pPr>
      <w:r>
        <w:rPr>
          <w:rFonts w:hint="eastAsia"/>
        </w:rPr>
        <w:t>(6)Department of Public Health, Miva Open University, Abuja, Nigeria.</w:t>
      </w:r>
    </w:p>
    <w:p w14:paraId="74CC07A4">
      <w:pPr>
        <w:pStyle w:val="2"/>
        <w:rPr>
          <w:rFonts w:hint="eastAsia"/>
        </w:rPr>
      </w:pPr>
      <w:r>
        <w:rPr>
          <w:rFonts w:hint="eastAsia"/>
        </w:rPr>
        <w:t xml:space="preserve">(7)Department of Medical Laboratory Science, College of Health Sciences, Bowen </w:t>
      </w:r>
    </w:p>
    <w:p w14:paraId="5601B9E9">
      <w:pPr>
        <w:pStyle w:val="2"/>
        <w:rPr>
          <w:rFonts w:hint="eastAsia"/>
        </w:rPr>
      </w:pPr>
      <w:r>
        <w:rPr>
          <w:rFonts w:hint="eastAsia"/>
        </w:rPr>
        <w:t>University, Iwo, Osun State, Nigeria.</w:t>
      </w:r>
    </w:p>
    <w:p w14:paraId="3463037F">
      <w:pPr>
        <w:pStyle w:val="2"/>
        <w:rPr>
          <w:rFonts w:hint="eastAsia"/>
        </w:rPr>
      </w:pPr>
      <w:r>
        <w:rPr>
          <w:rFonts w:hint="eastAsia"/>
        </w:rPr>
        <w:t xml:space="preserve">(8)Faculty of Medicine and Health Sciences, SIMAD University, Mogadishu, </w:t>
      </w:r>
    </w:p>
    <w:p w14:paraId="62E8FBBE">
      <w:pPr>
        <w:pStyle w:val="2"/>
        <w:rPr>
          <w:rFonts w:hint="eastAsia"/>
        </w:rPr>
      </w:pPr>
      <w:r>
        <w:rPr>
          <w:rFonts w:hint="eastAsia"/>
        </w:rPr>
        <w:t>Somalia.</w:t>
      </w:r>
    </w:p>
    <w:p w14:paraId="610D66DA">
      <w:pPr>
        <w:pStyle w:val="2"/>
        <w:rPr>
          <w:rFonts w:hint="eastAsia"/>
        </w:rPr>
      </w:pPr>
      <w:r>
        <w:rPr>
          <w:rFonts w:hint="eastAsia"/>
        </w:rPr>
        <w:t xml:space="preserve">(9)School of Global Health, Faculty of Medicine, Chulalongkorn University, </w:t>
      </w:r>
    </w:p>
    <w:p w14:paraId="720FAF8C">
      <w:pPr>
        <w:pStyle w:val="2"/>
        <w:rPr>
          <w:rFonts w:hint="eastAsia"/>
        </w:rPr>
      </w:pPr>
      <w:r>
        <w:rPr>
          <w:rFonts w:hint="eastAsia"/>
        </w:rPr>
        <w:t>Bangkok, Thailand.</w:t>
      </w:r>
    </w:p>
    <w:p w14:paraId="44D08D4B">
      <w:pPr>
        <w:pStyle w:val="2"/>
        <w:rPr>
          <w:rFonts w:hint="eastAsia"/>
        </w:rPr>
      </w:pPr>
      <w:r>
        <w:rPr>
          <w:rFonts w:hint="eastAsia"/>
        </w:rPr>
        <w:t xml:space="preserve">(10)Department of Clinical Services, Neuropsychiatric Hospital, Abeokuta, </w:t>
      </w:r>
    </w:p>
    <w:p w14:paraId="1BBFA9B2">
      <w:pPr>
        <w:pStyle w:val="2"/>
        <w:rPr>
          <w:rFonts w:hint="eastAsia"/>
        </w:rPr>
      </w:pPr>
      <w:r>
        <w:rPr>
          <w:rFonts w:hint="eastAsia"/>
        </w:rPr>
        <w:t>Nigeria.</w:t>
      </w:r>
    </w:p>
    <w:p w14:paraId="640381F3">
      <w:pPr>
        <w:pStyle w:val="2"/>
        <w:rPr>
          <w:rFonts w:hint="eastAsia"/>
        </w:rPr>
      </w:pPr>
      <w:r>
        <w:rPr>
          <w:rFonts w:hint="eastAsia"/>
        </w:rPr>
        <w:t xml:space="preserve">(11)Department of Nursing Science, College of Health Sciences, Bowen University, </w:t>
      </w:r>
    </w:p>
    <w:p w14:paraId="75D84298">
      <w:pPr>
        <w:pStyle w:val="2"/>
        <w:rPr>
          <w:rFonts w:hint="eastAsia"/>
        </w:rPr>
      </w:pPr>
      <w:r>
        <w:rPr>
          <w:rFonts w:hint="eastAsia"/>
        </w:rPr>
        <w:t>Iwo, Osun State, Nigeria.</w:t>
      </w:r>
    </w:p>
    <w:p w14:paraId="7C7A11A4">
      <w:pPr>
        <w:pStyle w:val="2"/>
        <w:rPr>
          <w:rFonts w:hint="eastAsia"/>
        </w:rPr>
      </w:pPr>
      <w:r>
        <w:rPr>
          <w:rFonts w:hint="eastAsia"/>
        </w:rPr>
        <w:t xml:space="preserve">(12)Community and Clinical Research Division, First On-Call Initiative, Port </w:t>
      </w:r>
    </w:p>
    <w:p w14:paraId="677B2C52">
      <w:pPr>
        <w:pStyle w:val="2"/>
        <w:rPr>
          <w:rFonts w:hint="eastAsia"/>
        </w:rPr>
      </w:pPr>
      <w:r>
        <w:rPr>
          <w:rFonts w:hint="eastAsia"/>
        </w:rPr>
        <w:t>Harcourt, Nigeria.</w:t>
      </w:r>
    </w:p>
    <w:p w14:paraId="43AA168F">
      <w:pPr>
        <w:pStyle w:val="2"/>
        <w:rPr>
          <w:rFonts w:hint="eastAsia"/>
        </w:rPr>
      </w:pPr>
      <w:r>
        <w:rPr>
          <w:rFonts w:hint="eastAsia"/>
        </w:rPr>
        <w:t xml:space="preserve">(13)Department of Global Health and Development, London School of Hygiene and </w:t>
      </w:r>
    </w:p>
    <w:p w14:paraId="2C345A47">
      <w:pPr>
        <w:pStyle w:val="2"/>
        <w:rPr>
          <w:rFonts w:hint="eastAsia"/>
        </w:rPr>
      </w:pPr>
      <w:r>
        <w:rPr>
          <w:rFonts w:hint="eastAsia"/>
        </w:rPr>
        <w:t>Tropical Medicine, London, United Kingdom.</w:t>
      </w:r>
    </w:p>
    <w:p w14:paraId="346A554E">
      <w:pPr>
        <w:pStyle w:val="2"/>
        <w:rPr>
          <w:rFonts w:hint="eastAsia"/>
        </w:rPr>
      </w:pPr>
      <w:r>
        <w:rPr>
          <w:rFonts w:hint="eastAsia"/>
        </w:rPr>
        <w:t xml:space="preserve">(14)Research and Innovation Office, Southern Leyte State University, </w:t>
      </w:r>
    </w:p>
    <w:p w14:paraId="28D1CC5D">
      <w:pPr>
        <w:pStyle w:val="2"/>
        <w:rPr>
          <w:rFonts w:hint="eastAsia"/>
        </w:rPr>
      </w:pPr>
      <w:r>
        <w:rPr>
          <w:rFonts w:hint="eastAsia"/>
        </w:rPr>
        <w:t>Philippines.</w:t>
      </w:r>
    </w:p>
    <w:p w14:paraId="150284DD">
      <w:pPr>
        <w:pStyle w:val="2"/>
        <w:rPr>
          <w:rFonts w:hint="eastAsia"/>
        </w:rPr>
      </w:pPr>
      <w:r>
        <w:rPr>
          <w:rFonts w:hint="eastAsia"/>
        </w:rPr>
        <w:t xml:space="preserve">(15)Center for Research and Development, Cebu Normal University, Cebu, </w:t>
      </w:r>
    </w:p>
    <w:p w14:paraId="23655B14">
      <w:pPr>
        <w:pStyle w:val="2"/>
        <w:rPr>
          <w:rFonts w:hint="eastAsia"/>
        </w:rPr>
      </w:pPr>
      <w:r>
        <w:rPr>
          <w:rFonts w:hint="eastAsia"/>
        </w:rPr>
        <w:t>Philippines.</w:t>
      </w:r>
    </w:p>
    <w:p w14:paraId="3DE72293">
      <w:pPr>
        <w:pStyle w:val="2"/>
        <w:rPr>
          <w:rFonts w:hint="eastAsia"/>
        </w:rPr>
      </w:pPr>
    </w:p>
    <w:p w14:paraId="127FA2B8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OBJECTIVES: </w:t>
      </w:r>
      <w:r>
        <w:rPr>
          <w:rFonts w:hint="eastAsia"/>
        </w:rPr>
        <w:t xml:space="preserve">This study aimed to systematically evaluate the prevalence and </w:t>
      </w:r>
    </w:p>
    <w:p w14:paraId="4CFCDD36">
      <w:pPr>
        <w:pStyle w:val="2"/>
        <w:rPr>
          <w:rFonts w:hint="eastAsia"/>
        </w:rPr>
      </w:pPr>
      <w:r>
        <w:rPr>
          <w:rFonts w:hint="eastAsia"/>
        </w:rPr>
        <w:t xml:space="preserve">burden of human immunodeficiency virus-tuberculosis (HIV-TB) co-infection among </w:t>
      </w:r>
    </w:p>
    <w:p w14:paraId="65AA4461">
      <w:pPr>
        <w:pStyle w:val="2"/>
        <w:rPr>
          <w:rFonts w:hint="eastAsia"/>
        </w:rPr>
      </w:pPr>
      <w:r>
        <w:rPr>
          <w:rFonts w:hint="eastAsia"/>
        </w:rPr>
        <w:t>pregnant women.</w:t>
      </w:r>
    </w:p>
    <w:p w14:paraId="7D80E495">
      <w:pPr>
        <w:pStyle w:val="2"/>
        <w:rPr>
          <w:rFonts w:hint="eastAsia"/>
        </w:rPr>
      </w:pPr>
      <w:r>
        <w:rPr>
          <w:rFonts w:hint="eastAsia"/>
          <w:b/>
          <w:bCs/>
        </w:rPr>
        <w:t>METHOD:</w:t>
      </w:r>
      <w:r>
        <w:rPr>
          <w:rFonts w:hint="eastAsia"/>
        </w:rPr>
        <w:t xml:space="preserve"> ology: A comprehensive systematic search was conducted in PubMed, </w:t>
      </w:r>
    </w:p>
    <w:p w14:paraId="715AEA51">
      <w:pPr>
        <w:pStyle w:val="2"/>
        <w:rPr>
          <w:rFonts w:hint="eastAsia"/>
        </w:rPr>
      </w:pPr>
      <w:r>
        <w:rPr>
          <w:rFonts w:hint="eastAsia"/>
        </w:rPr>
        <w:t xml:space="preserve">Scopus, and Google Scholar to identify eligible studies published in English </w:t>
      </w:r>
    </w:p>
    <w:p w14:paraId="13B2EB31">
      <w:pPr>
        <w:pStyle w:val="2"/>
        <w:rPr>
          <w:rFonts w:hint="eastAsia"/>
        </w:rPr>
      </w:pPr>
      <w:r>
        <w:rPr>
          <w:rFonts w:hint="eastAsia"/>
        </w:rPr>
        <w:t xml:space="preserve">between 2015 and 2025. Study selection, data extraction, quality assessment, and </w:t>
      </w:r>
    </w:p>
    <w:p w14:paraId="0477AAAB">
      <w:pPr>
        <w:pStyle w:val="2"/>
        <w:rPr>
          <w:rFonts w:hint="eastAsia"/>
        </w:rPr>
      </w:pPr>
      <w:r>
        <w:rPr>
          <w:rFonts w:hint="eastAsia"/>
        </w:rPr>
        <w:t xml:space="preserve">reporting adhered to the PROSPERO-registered protocol and Preferred Reporting </w:t>
      </w:r>
    </w:p>
    <w:p w14:paraId="58A9D3C4">
      <w:pPr>
        <w:pStyle w:val="2"/>
        <w:rPr>
          <w:rFonts w:hint="eastAsia"/>
        </w:rPr>
      </w:pPr>
      <w:r>
        <w:rPr>
          <w:rFonts w:hint="eastAsia"/>
        </w:rPr>
        <w:t xml:space="preserve">Items for Systematic reviews and Meta-Analyses guidelines. Pooled prevalence </w:t>
      </w:r>
    </w:p>
    <w:p w14:paraId="478D79BA">
      <w:pPr>
        <w:pStyle w:val="2"/>
        <w:rPr>
          <w:rFonts w:hint="eastAsia"/>
        </w:rPr>
      </w:pPr>
      <w:r>
        <w:rPr>
          <w:rFonts w:hint="eastAsia"/>
        </w:rPr>
        <w:t xml:space="preserve">estimates were calculated using a random-effects logistic regression model </w:t>
      </w:r>
    </w:p>
    <w:p w14:paraId="07E862EC">
      <w:pPr>
        <w:pStyle w:val="2"/>
        <w:rPr>
          <w:rFonts w:hint="eastAsia"/>
        </w:rPr>
      </w:pPr>
      <w:r>
        <w:rPr>
          <w:rFonts w:hint="eastAsia"/>
        </w:rPr>
        <w:t xml:space="preserve">implemented in R statistical software. Heterogeneity was assessed using </w:t>
      </w:r>
    </w:p>
    <w:p w14:paraId="24E76CBB">
      <w:pPr>
        <w:pStyle w:val="2"/>
        <w:rPr>
          <w:rFonts w:hint="eastAsia"/>
        </w:rPr>
      </w:pPr>
      <w:r>
        <w:rPr>
          <w:rFonts w:hint="eastAsia"/>
        </w:rPr>
        <w:t xml:space="preserve">Cochran's Q statistic, τ2, and the I2 statistic. Subgroup analyses were </w:t>
      </w:r>
    </w:p>
    <w:p w14:paraId="2C8D7CA1">
      <w:pPr>
        <w:pStyle w:val="2"/>
        <w:rPr>
          <w:rFonts w:hint="eastAsia"/>
        </w:rPr>
      </w:pPr>
      <w:r>
        <w:rPr>
          <w:rFonts w:hint="eastAsia"/>
        </w:rPr>
        <w:t xml:space="preserve">conducted according to geographical region, HIV prevalence strata, and study </w:t>
      </w:r>
    </w:p>
    <w:p w14:paraId="23322BDF">
      <w:pPr>
        <w:pStyle w:val="2"/>
        <w:rPr>
          <w:rFonts w:hint="eastAsia"/>
        </w:rPr>
      </w:pPr>
      <w:r>
        <w:rPr>
          <w:rFonts w:hint="eastAsia"/>
        </w:rPr>
        <w:t xml:space="preserve">design. Publication bias was evaluated using funnel plots and Egger's regression </w:t>
      </w:r>
    </w:p>
    <w:p w14:paraId="082D542A">
      <w:pPr>
        <w:pStyle w:val="2"/>
        <w:rPr>
          <w:rFonts w:hint="eastAsia"/>
        </w:rPr>
      </w:pPr>
      <w:r>
        <w:rPr>
          <w:rFonts w:hint="eastAsia"/>
        </w:rPr>
        <w:t xml:space="preserve">test. Leave-one-out sensitivity analysis was performed to assess the robustness </w:t>
      </w:r>
    </w:p>
    <w:p w14:paraId="242D8084">
      <w:pPr>
        <w:pStyle w:val="2"/>
        <w:rPr>
          <w:rFonts w:hint="eastAsia"/>
        </w:rPr>
      </w:pPr>
      <w:r>
        <w:rPr>
          <w:rFonts w:hint="eastAsia"/>
        </w:rPr>
        <w:t>of the pooled estimates.</w:t>
      </w:r>
    </w:p>
    <w:p w14:paraId="5682DBD5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Twenty-three studies involving 118,174,014 pregnant women were included </w:t>
      </w:r>
    </w:p>
    <w:p w14:paraId="334D24D5">
      <w:pPr>
        <w:pStyle w:val="2"/>
        <w:rPr>
          <w:rFonts w:hint="eastAsia"/>
        </w:rPr>
      </w:pPr>
      <w:r>
        <w:rPr>
          <w:rFonts w:hint="eastAsia"/>
        </w:rPr>
        <w:t xml:space="preserve">in the systematic review, where 17 studies comprising 57,399,949 pregnant women </w:t>
      </w:r>
    </w:p>
    <w:p w14:paraId="17B009C2">
      <w:pPr>
        <w:pStyle w:val="2"/>
        <w:rPr>
          <w:rFonts w:hint="eastAsia"/>
        </w:rPr>
      </w:pPr>
      <w:r>
        <w:rPr>
          <w:rFonts w:hint="eastAsia"/>
        </w:rPr>
        <w:t xml:space="preserve">contributed quantitative data to the meta-analysis. The pooled prevalence of </w:t>
      </w:r>
    </w:p>
    <w:p w14:paraId="6248A9CE">
      <w:pPr>
        <w:pStyle w:val="2"/>
        <w:rPr>
          <w:rFonts w:hint="eastAsia"/>
        </w:rPr>
      </w:pPr>
      <w:r>
        <w:rPr>
          <w:rFonts w:hint="eastAsia"/>
        </w:rPr>
        <w:t xml:space="preserve">HIV-TB co-infection among pregnant women was 19.5% (95% confidence interval (95% </w:t>
      </w:r>
    </w:p>
    <w:p w14:paraId="6F76DDD6">
      <w:pPr>
        <w:pStyle w:val="2"/>
        <w:rPr>
          <w:rFonts w:hint="eastAsia"/>
        </w:rPr>
      </w:pPr>
      <w:r>
        <w:rPr>
          <w:rFonts w:hint="eastAsia"/>
        </w:rPr>
        <w:t xml:space="preserve">CI): 3.1-65.0%), with considerable heterogeneity (I2 = 99.9%). Subgroup analyses </w:t>
      </w:r>
    </w:p>
    <w:p w14:paraId="6191CE44">
      <w:pPr>
        <w:pStyle w:val="2"/>
        <w:rPr>
          <w:rFonts w:hint="eastAsia"/>
        </w:rPr>
      </w:pPr>
      <w:r>
        <w:rPr>
          <w:rFonts w:hint="eastAsia"/>
        </w:rPr>
        <w:t xml:space="preserve">obtained significantly higher prevalence estimates in sub-Saharan Africa (30.8%; </w:t>
      </w:r>
    </w:p>
    <w:p w14:paraId="34E390BC">
      <w:pPr>
        <w:pStyle w:val="2"/>
        <w:rPr>
          <w:rFonts w:hint="eastAsia"/>
        </w:rPr>
      </w:pPr>
      <w:r>
        <w:rPr>
          <w:rFonts w:hint="eastAsia"/>
        </w:rPr>
        <w:t xml:space="preserve">95% CI: 10.1-63.8%), high HIV prevalence settings (51.8%; 95% CI: 25.1-77.5%), </w:t>
      </w:r>
    </w:p>
    <w:p w14:paraId="5EAA9F80">
      <w:pPr>
        <w:pStyle w:val="2"/>
        <w:rPr>
          <w:rFonts w:hint="eastAsia"/>
        </w:rPr>
      </w:pPr>
      <w:r>
        <w:rPr>
          <w:rFonts w:hint="eastAsia"/>
        </w:rPr>
        <w:t xml:space="preserve">and prospective or longitudinal cohort studies (67.7%; 95% CI: 23.5-93.4%) (all </w:t>
      </w:r>
    </w:p>
    <w:p w14:paraId="55E47D53">
      <w:pPr>
        <w:pStyle w:val="2"/>
        <w:rPr>
          <w:rFonts w:hint="eastAsia"/>
        </w:rPr>
      </w:pPr>
      <w:r>
        <w:rPr>
          <w:rFonts w:hint="eastAsia"/>
        </w:rPr>
        <w:t xml:space="preserve">p &lt; 0.001). Diagnostic approaches included enzyme-linked immunosorbent assay, </w:t>
      </w:r>
    </w:p>
    <w:p w14:paraId="7DFD29B6">
      <w:pPr>
        <w:pStyle w:val="2"/>
        <w:rPr>
          <w:rFonts w:hint="eastAsia"/>
        </w:rPr>
      </w:pPr>
      <w:r>
        <w:rPr>
          <w:rFonts w:hint="eastAsia"/>
        </w:rPr>
        <w:t xml:space="preserve">GeneXpert MTB/RIF, sputum microscopy, QuantiFERON-TB Gold Plus, tuberculin skin </w:t>
      </w:r>
    </w:p>
    <w:p w14:paraId="369D117C">
      <w:pPr>
        <w:pStyle w:val="2"/>
        <w:rPr>
          <w:rFonts w:hint="eastAsia"/>
        </w:rPr>
      </w:pPr>
      <w:r>
        <w:rPr>
          <w:rFonts w:hint="eastAsia"/>
        </w:rPr>
        <w:t xml:space="preserve">test, HIV RNA quantification, CD4 T-cell count, and smear microscopy. HIV-TB </w:t>
      </w:r>
    </w:p>
    <w:p w14:paraId="034B21AB">
      <w:pPr>
        <w:pStyle w:val="2"/>
        <w:rPr>
          <w:rFonts w:hint="eastAsia"/>
        </w:rPr>
      </w:pPr>
      <w:r>
        <w:rPr>
          <w:rFonts w:hint="eastAsia"/>
        </w:rPr>
        <w:t>co-infection was associated with adverse maternal and neonatal outcomes.</w:t>
      </w:r>
    </w:p>
    <w:p w14:paraId="77F3CF6F">
      <w:pPr>
        <w:pStyle w:val="2"/>
        <w:rPr>
          <w:rFonts w:hint="eastAsia"/>
        </w:rPr>
      </w:pPr>
      <w:r>
        <w:rPr>
          <w:rFonts w:hint="eastAsia"/>
          <w:b/>
          <w:bCs/>
        </w:rPr>
        <w:t>CONCLUSION:</w:t>
      </w:r>
      <w:r>
        <w:rPr>
          <w:rFonts w:hint="eastAsia"/>
        </w:rPr>
        <w:t xml:space="preserve"> HIV-TB co-infection remains a substantial burden among pregnant </w:t>
      </w:r>
    </w:p>
    <w:p w14:paraId="12515C07">
      <w:pPr>
        <w:pStyle w:val="2"/>
        <w:rPr>
          <w:rFonts w:hint="eastAsia"/>
        </w:rPr>
      </w:pPr>
      <w:r>
        <w:rPr>
          <w:rFonts w:hint="eastAsia"/>
        </w:rPr>
        <w:t xml:space="preserve">women, particularly in high HIV prevalence settings and Sub-Saharan Africa, </w:t>
      </w:r>
    </w:p>
    <w:p w14:paraId="2C70F5F7">
      <w:pPr>
        <w:pStyle w:val="2"/>
        <w:rPr>
          <w:rFonts w:hint="eastAsia"/>
        </w:rPr>
      </w:pPr>
      <w:r>
        <w:rPr>
          <w:rFonts w:hint="eastAsia"/>
        </w:rPr>
        <w:t xml:space="preserve">necessitating strengthened integrated screening, early diagnosis, and targeted </w:t>
      </w:r>
    </w:p>
    <w:p w14:paraId="66B04178">
      <w:pPr>
        <w:pStyle w:val="2"/>
        <w:rPr>
          <w:rFonts w:hint="eastAsia"/>
        </w:rPr>
      </w:pPr>
      <w:r>
        <w:rPr>
          <w:rFonts w:hint="eastAsia"/>
        </w:rPr>
        <w:t xml:space="preserve">interventions to improve maternal and child health outcomes in </w:t>
      </w:r>
    </w:p>
    <w:p w14:paraId="02316AF0">
      <w:pPr>
        <w:pStyle w:val="2"/>
        <w:rPr>
          <w:rFonts w:hint="eastAsia"/>
        </w:rPr>
      </w:pPr>
      <w:r>
        <w:rPr>
          <w:rFonts w:hint="eastAsia"/>
        </w:rPr>
        <w:t>resource-constrained settings.</w:t>
      </w:r>
    </w:p>
    <w:p w14:paraId="4D3ECA84">
      <w:pPr>
        <w:pStyle w:val="2"/>
        <w:rPr>
          <w:rFonts w:hint="eastAsia"/>
        </w:rPr>
      </w:pPr>
      <w:r>
        <w:rPr>
          <w:rFonts w:hint="eastAsia"/>
        </w:rPr>
        <w:t>PROSPERO ID: CRD42025646201.</w:t>
      </w:r>
    </w:p>
    <w:p w14:paraId="5F134C73">
      <w:pPr>
        <w:pStyle w:val="2"/>
        <w:rPr>
          <w:rFonts w:hint="eastAsia"/>
        </w:rPr>
      </w:pPr>
    </w:p>
    <w:p w14:paraId="2B5C55AE">
      <w:pPr>
        <w:pStyle w:val="2"/>
        <w:rPr>
          <w:rFonts w:hint="eastAsia"/>
        </w:rPr>
      </w:pPr>
      <w:r>
        <w:rPr>
          <w:rFonts w:hint="eastAsia"/>
        </w:rPr>
        <w:t>© 2026 The Authors.</w:t>
      </w:r>
    </w:p>
    <w:p w14:paraId="110B5139">
      <w:pPr>
        <w:pStyle w:val="2"/>
        <w:rPr>
          <w:rFonts w:hint="eastAsia"/>
        </w:rPr>
      </w:pPr>
    </w:p>
    <w:p w14:paraId="0D6BC25D">
      <w:pPr>
        <w:pStyle w:val="2"/>
        <w:rPr>
          <w:rFonts w:hint="eastAsia"/>
        </w:rPr>
      </w:pPr>
      <w:r>
        <w:rPr>
          <w:rFonts w:hint="eastAsia"/>
        </w:rPr>
        <w:t>DOI: 10.1016/j.jtumed.2026.09.003</w:t>
      </w:r>
    </w:p>
    <w:p w14:paraId="268AFFE1">
      <w:pPr>
        <w:pStyle w:val="2"/>
        <w:rPr>
          <w:rFonts w:hint="eastAsia"/>
        </w:rPr>
      </w:pPr>
      <w:r>
        <w:rPr>
          <w:rFonts w:hint="eastAsia"/>
        </w:rPr>
        <w:t>PMCID: PMC13651568</w:t>
      </w:r>
    </w:p>
    <w:p w14:paraId="6404C244">
      <w:pPr>
        <w:pStyle w:val="2"/>
        <w:rPr>
          <w:rFonts w:hint="eastAsia"/>
        </w:rPr>
      </w:pPr>
      <w:r>
        <w:rPr>
          <w:rFonts w:hint="eastAsia"/>
        </w:rPr>
        <w:t>PMID: 42857608</w:t>
      </w:r>
    </w:p>
    <w:p w14:paraId="1550AC58">
      <w:pPr>
        <w:pStyle w:val="2"/>
        <w:rPr>
          <w:rFonts w:hint="eastAsia"/>
        </w:rPr>
      </w:pPr>
    </w:p>
    <w:p w14:paraId="244281EB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63</w:t>
      </w:r>
      <w:r>
        <w:rPr>
          <w:rFonts w:hint="eastAsia"/>
          <w:b/>
          <w:bCs/>
          <w:color w:val="FF0000"/>
        </w:rPr>
        <w:t>. Cureus. 2026 Sep 9;18(9):e115987. doi: 10.7759/cureus.115987. eCollection 2026 Sep.</w:t>
      </w:r>
    </w:p>
    <w:p w14:paraId="2F4C0AA3">
      <w:pPr>
        <w:pStyle w:val="2"/>
        <w:rPr>
          <w:rFonts w:hint="eastAsia"/>
        </w:rPr>
      </w:pPr>
    </w:p>
    <w:p w14:paraId="3794FEC2">
      <w:pPr>
        <w:pStyle w:val="2"/>
        <w:rPr>
          <w:rFonts w:hint="eastAsia"/>
        </w:rPr>
      </w:pPr>
      <w:r>
        <w:rPr>
          <w:rFonts w:hint="eastAsia"/>
        </w:rPr>
        <w:t xml:space="preserve">Distribution of gyrA, rrs, and eis Gene Mutations Associated With Second-Line </w:t>
      </w:r>
    </w:p>
    <w:p w14:paraId="77806DAB">
      <w:pPr>
        <w:pStyle w:val="2"/>
        <w:rPr>
          <w:rFonts w:hint="eastAsia"/>
        </w:rPr>
      </w:pPr>
      <w:r>
        <w:rPr>
          <w:rFonts w:hint="eastAsia"/>
        </w:rPr>
        <w:t>Drug Resistance Among Multidrug-Resistant Mycobacterium tuberculosis Isolates.</w:t>
      </w:r>
    </w:p>
    <w:p w14:paraId="66EF0E21">
      <w:pPr>
        <w:pStyle w:val="2"/>
        <w:rPr>
          <w:rFonts w:hint="eastAsia"/>
        </w:rPr>
      </w:pPr>
    </w:p>
    <w:p w14:paraId="7F09143F">
      <w:pPr>
        <w:pStyle w:val="2"/>
        <w:rPr>
          <w:rFonts w:hint="eastAsia"/>
        </w:rPr>
      </w:pPr>
      <w:r>
        <w:rPr>
          <w:rFonts w:hint="eastAsia"/>
        </w:rPr>
        <w:t>Yadav R(1), Bala R(1), Parmar A(2), Kaur N(1), Singh P(1).</w:t>
      </w:r>
    </w:p>
    <w:p w14:paraId="47EF4D8F">
      <w:pPr>
        <w:pStyle w:val="2"/>
        <w:rPr>
          <w:rFonts w:hint="eastAsia"/>
        </w:rPr>
      </w:pPr>
    </w:p>
    <w:p w14:paraId="0EB00D9C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4FAF807A">
      <w:pPr>
        <w:pStyle w:val="2"/>
        <w:rPr>
          <w:rFonts w:hint="eastAsia"/>
        </w:rPr>
      </w:pPr>
      <w:r>
        <w:rPr>
          <w:rFonts w:hint="eastAsia"/>
        </w:rPr>
        <w:t xml:space="preserve">(1)Microbiology, Maharishi Markandeshwar Institute of Medical Sciences and </w:t>
      </w:r>
    </w:p>
    <w:p w14:paraId="63BFFC7F">
      <w:pPr>
        <w:pStyle w:val="2"/>
        <w:rPr>
          <w:rFonts w:hint="eastAsia"/>
        </w:rPr>
      </w:pPr>
      <w:r>
        <w:rPr>
          <w:rFonts w:hint="eastAsia"/>
        </w:rPr>
        <w:t xml:space="preserve">Research (MMIMSR), Maharishi Markandeshwar (Deemed to be University), Ambala, </w:t>
      </w:r>
    </w:p>
    <w:p w14:paraId="298D7332">
      <w:pPr>
        <w:pStyle w:val="2"/>
        <w:rPr>
          <w:rFonts w:hint="eastAsia"/>
        </w:rPr>
      </w:pPr>
      <w:r>
        <w:rPr>
          <w:rFonts w:hint="eastAsia"/>
        </w:rPr>
        <w:t>IND.</w:t>
      </w:r>
    </w:p>
    <w:p w14:paraId="467CB5CB">
      <w:pPr>
        <w:pStyle w:val="2"/>
        <w:rPr>
          <w:rFonts w:hint="eastAsia"/>
        </w:rPr>
      </w:pPr>
      <w:r>
        <w:rPr>
          <w:rFonts w:hint="eastAsia"/>
        </w:rPr>
        <w:t xml:space="preserve">(2)Microbiology, Pandit Bhagwat Dayal Sharma Post Graduate Institute of Medical </w:t>
      </w:r>
    </w:p>
    <w:p w14:paraId="6D7DD75C">
      <w:pPr>
        <w:pStyle w:val="2"/>
        <w:rPr>
          <w:rFonts w:hint="eastAsia"/>
        </w:rPr>
      </w:pPr>
      <w:r>
        <w:rPr>
          <w:rFonts w:hint="eastAsia"/>
        </w:rPr>
        <w:t>Sciences (PGIMS), Rohtak, IND.</w:t>
      </w:r>
    </w:p>
    <w:p w14:paraId="218582A8">
      <w:pPr>
        <w:pStyle w:val="2"/>
        <w:rPr>
          <w:rFonts w:hint="eastAsia"/>
        </w:rPr>
      </w:pPr>
    </w:p>
    <w:p w14:paraId="3FB5581B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Drug-resistant tuberculosis (DR-TB) remains a major public health </w:t>
      </w:r>
    </w:p>
    <w:p w14:paraId="31FDD97B">
      <w:pPr>
        <w:pStyle w:val="2"/>
        <w:rPr>
          <w:rFonts w:hint="eastAsia"/>
        </w:rPr>
      </w:pPr>
      <w:r>
        <w:rPr>
          <w:rFonts w:hint="eastAsia"/>
        </w:rPr>
        <w:t xml:space="preserve">challenge, particularly with the increasing prevalence of resistance to </w:t>
      </w:r>
    </w:p>
    <w:p w14:paraId="40FB54B3">
      <w:pPr>
        <w:pStyle w:val="2"/>
        <w:rPr>
          <w:rFonts w:hint="eastAsia"/>
        </w:rPr>
      </w:pPr>
      <w:r>
        <w:rPr>
          <w:rFonts w:hint="eastAsia"/>
        </w:rPr>
        <w:t xml:space="preserve">second-line anti-tubercular drugs. Rapid detection of mutations associated with </w:t>
      </w:r>
    </w:p>
    <w:p w14:paraId="40E2A231">
      <w:pPr>
        <w:pStyle w:val="2"/>
        <w:rPr>
          <w:rFonts w:hint="eastAsia"/>
        </w:rPr>
      </w:pPr>
      <w:r>
        <w:rPr>
          <w:rFonts w:hint="eastAsia"/>
        </w:rPr>
        <w:t xml:space="preserve">fluoroquinolone (FQ) and second-line injectable drug (SLID) resistance is </w:t>
      </w:r>
    </w:p>
    <w:p w14:paraId="08448E3A">
      <w:pPr>
        <w:pStyle w:val="2"/>
        <w:rPr>
          <w:rFonts w:hint="eastAsia"/>
        </w:rPr>
      </w:pPr>
      <w:r>
        <w:rPr>
          <w:rFonts w:hint="eastAsia"/>
        </w:rPr>
        <w:t xml:space="preserve">essential for appropriate treatment selection and prevention of further drug </w:t>
      </w:r>
    </w:p>
    <w:p w14:paraId="6E1E49F9">
      <w:pPr>
        <w:pStyle w:val="2"/>
        <w:rPr>
          <w:rFonts w:hint="eastAsia"/>
        </w:rPr>
      </w:pPr>
      <w:r>
        <w:rPr>
          <w:rFonts w:hint="eastAsia"/>
        </w:rPr>
        <w:t>resistance.</w:t>
      </w:r>
    </w:p>
    <w:p w14:paraId="0D9ED7BF">
      <w:pPr>
        <w:pStyle w:val="2"/>
        <w:rPr>
          <w:rFonts w:hint="eastAsia"/>
        </w:rPr>
      </w:pPr>
      <w:r>
        <w:rPr>
          <w:rFonts w:hint="eastAsia"/>
          <w:b/>
          <w:bCs/>
        </w:rPr>
        <w:t>OBJECTIVES:</w:t>
      </w:r>
      <w:r>
        <w:rPr>
          <w:rFonts w:hint="eastAsia"/>
        </w:rPr>
        <w:t xml:space="preserve"> To determine the genotypic patterns of second-line drug resistance </w:t>
      </w:r>
    </w:p>
    <w:p w14:paraId="48B75E4E">
      <w:pPr>
        <w:pStyle w:val="2"/>
        <w:rPr>
          <w:rFonts w:hint="eastAsia"/>
        </w:rPr>
      </w:pPr>
      <w:r>
        <w:rPr>
          <w:rFonts w:hint="eastAsia"/>
        </w:rPr>
        <w:t xml:space="preserve">among drug-resistant Mycobacterium tuberculosis isolates using GenoType MTBDRsl </w:t>
      </w:r>
    </w:p>
    <w:p w14:paraId="70B1F2E2">
      <w:pPr>
        <w:pStyle w:val="2"/>
        <w:rPr>
          <w:rFonts w:hint="eastAsia"/>
        </w:rPr>
      </w:pPr>
      <w:r>
        <w:rPr>
          <w:rFonts w:hint="eastAsia"/>
        </w:rPr>
        <w:t xml:space="preserve">Version 2.0 (Hain Lifescience GmbH (a Bruker company), Nehren, Germany) and to </w:t>
      </w:r>
    </w:p>
    <w:p w14:paraId="306DB70A">
      <w:pPr>
        <w:pStyle w:val="2"/>
        <w:rPr>
          <w:rFonts w:hint="eastAsia"/>
        </w:rPr>
      </w:pPr>
      <w:r>
        <w:rPr>
          <w:rFonts w:hint="eastAsia"/>
        </w:rPr>
        <w:t>characterize mutations associated with resistance to FQs and SLIDs.</w:t>
      </w:r>
    </w:p>
    <w:p w14:paraId="09023218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METHODS: </w:t>
      </w:r>
      <w:r>
        <w:rPr>
          <w:rFonts w:hint="eastAsia"/>
        </w:rPr>
        <w:t xml:space="preserve">A cross-sectional study was conducted on 85 drug-resistant </w:t>
      </w:r>
    </w:p>
    <w:p w14:paraId="196D70C7">
      <w:pPr>
        <w:pStyle w:val="2"/>
        <w:rPr>
          <w:rFonts w:hint="eastAsia"/>
        </w:rPr>
      </w:pPr>
      <w:r>
        <w:rPr>
          <w:rFonts w:hint="eastAsia"/>
        </w:rPr>
        <w:t xml:space="preserve">Mycobacterium tuberculosis isolates. GenoType MTBDRsl Version 2.0 assay was </w:t>
      </w:r>
    </w:p>
    <w:p w14:paraId="496E677C">
      <w:pPr>
        <w:pStyle w:val="2"/>
        <w:rPr>
          <w:rFonts w:hint="eastAsia"/>
        </w:rPr>
      </w:pPr>
      <w:r>
        <w:rPr>
          <w:rFonts w:hint="eastAsia"/>
        </w:rPr>
        <w:t xml:space="preserve">performed to detect mutations in the gyrA, gyrB, rrs, and eis genes associated </w:t>
      </w:r>
    </w:p>
    <w:p w14:paraId="798F7951">
      <w:pPr>
        <w:pStyle w:val="2"/>
        <w:rPr>
          <w:rFonts w:hint="eastAsia"/>
        </w:rPr>
      </w:pPr>
      <w:r>
        <w:rPr>
          <w:rFonts w:hint="eastAsia"/>
        </w:rPr>
        <w:t xml:space="preserve">with resistance to FQs and SLIDs. Isolates were categorized according to World </w:t>
      </w:r>
    </w:p>
    <w:p w14:paraId="4738A64F">
      <w:pPr>
        <w:pStyle w:val="2"/>
        <w:rPr>
          <w:rFonts w:hint="eastAsia"/>
        </w:rPr>
      </w:pPr>
      <w:r>
        <w:rPr>
          <w:rFonts w:hint="eastAsia"/>
        </w:rPr>
        <w:t>Health Organization (WHO) resistance definitions.</w:t>
      </w:r>
    </w:p>
    <w:p w14:paraId="48E2DCB8">
      <w:pPr>
        <w:pStyle w:val="2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A total of 85 drug-resistant Mycobacterium tuberculosis isolates were </w:t>
      </w:r>
    </w:p>
    <w:p w14:paraId="7B67F74E">
      <w:pPr>
        <w:pStyle w:val="2"/>
        <w:rPr>
          <w:rFonts w:hint="eastAsia"/>
        </w:rPr>
      </w:pPr>
      <w:r>
        <w:rPr>
          <w:rFonts w:hint="eastAsia"/>
        </w:rPr>
        <w:t xml:space="preserve">analyzed, including 42 (49.4%) isoniazid-resistant TB (Hr-TB), 14 (16.5%) </w:t>
      </w:r>
    </w:p>
    <w:p w14:paraId="5FDAA8A6">
      <w:pPr>
        <w:pStyle w:val="2"/>
        <w:rPr>
          <w:rFonts w:hint="eastAsia"/>
        </w:rPr>
      </w:pPr>
      <w:r>
        <w:rPr>
          <w:rFonts w:hint="eastAsia"/>
        </w:rPr>
        <w:t xml:space="preserve">rifampicin-resistant TB (RR-TB), and 29 (34.1%) multidrug-resistant TB (MDR-TB) </w:t>
      </w:r>
    </w:p>
    <w:p w14:paraId="0D8CED7C">
      <w:pPr>
        <w:pStyle w:val="2"/>
        <w:rPr>
          <w:rFonts w:hint="eastAsia"/>
        </w:rPr>
      </w:pPr>
      <w:r>
        <w:rPr>
          <w:rFonts w:hint="eastAsia"/>
        </w:rPr>
        <w:t xml:space="preserve">isolates. FQ resistance was detected in 30 (35.3%) isolates, while seven (8.2%) </w:t>
      </w:r>
    </w:p>
    <w:p w14:paraId="3668CF6D">
      <w:pPr>
        <w:pStyle w:val="2"/>
        <w:rPr>
          <w:rFonts w:hint="eastAsia"/>
        </w:rPr>
      </w:pPr>
      <w:r>
        <w:rPr>
          <w:rFonts w:hint="eastAsia"/>
        </w:rPr>
        <w:t xml:space="preserve">were resistant to SLIDs. Based on final classification, 33 (38.8%) isolates were </w:t>
      </w:r>
    </w:p>
    <w:p w14:paraId="428AEBDF">
      <w:pPr>
        <w:pStyle w:val="2"/>
        <w:rPr>
          <w:rFonts w:hint="eastAsia"/>
        </w:rPr>
      </w:pPr>
      <w:r>
        <w:rPr>
          <w:rFonts w:hint="eastAsia"/>
        </w:rPr>
        <w:t xml:space="preserve">Hr-TB, nine (10.6%) Hr-TB with FQ resistance, nine (10.6%) RR-TB, five (5.9%) </w:t>
      </w:r>
    </w:p>
    <w:p w14:paraId="5F392514">
      <w:pPr>
        <w:pStyle w:val="2"/>
        <w:rPr>
          <w:rFonts w:hint="eastAsia"/>
        </w:rPr>
      </w:pPr>
      <w:r>
        <w:rPr>
          <w:rFonts w:hint="eastAsia"/>
        </w:rPr>
        <w:t xml:space="preserve">RR-TB with FQ resistance, 13 (15.3%) MDR-TB, and 16 (18.8%) pre-extensively </w:t>
      </w:r>
    </w:p>
    <w:p w14:paraId="47D8E477">
      <w:pPr>
        <w:pStyle w:val="2"/>
        <w:rPr>
          <w:rFonts w:hint="eastAsia"/>
        </w:rPr>
      </w:pPr>
      <w:r>
        <w:rPr>
          <w:rFonts w:hint="eastAsia"/>
        </w:rPr>
        <w:t xml:space="preserve">drug-resistant (pre-XDR) TB. Among FQ-resistant isolates, the most common </w:t>
      </w:r>
    </w:p>
    <w:p w14:paraId="2C76CFC1">
      <w:pPr>
        <w:pStyle w:val="2"/>
        <w:rPr>
          <w:rFonts w:hint="eastAsia"/>
        </w:rPr>
      </w:pPr>
      <w:r>
        <w:rPr>
          <w:rFonts w:hint="eastAsia"/>
        </w:rPr>
        <w:t xml:space="preserve">mutation was gyrA D94G (53.3%), followed by A90V (20.0%) and D94N/Y (16.7%). </w:t>
      </w:r>
    </w:p>
    <w:p w14:paraId="17A7E7EC">
      <w:pPr>
        <w:pStyle w:val="2"/>
        <w:rPr>
          <w:rFonts w:hint="eastAsia"/>
        </w:rPr>
      </w:pPr>
      <w:r>
        <w:rPr>
          <w:rFonts w:hint="eastAsia"/>
        </w:rPr>
        <w:t xml:space="preserve">Among SLID-resistant isolates, rrs mutations predominated, with A1401G detected </w:t>
      </w:r>
    </w:p>
    <w:p w14:paraId="72CB9B5E">
      <w:pPr>
        <w:pStyle w:val="2"/>
        <w:rPr>
          <w:rFonts w:hint="eastAsia"/>
        </w:rPr>
      </w:pPr>
      <w:r>
        <w:rPr>
          <w:rFonts w:hint="eastAsia"/>
        </w:rPr>
        <w:t xml:space="preserve">in 28.6% and G1484T in 14.3% of isolates. No isolated eis promoter mutations </w:t>
      </w:r>
    </w:p>
    <w:p w14:paraId="2E9DC483">
      <w:pPr>
        <w:pStyle w:val="2"/>
        <w:rPr>
          <w:rFonts w:hint="eastAsia"/>
        </w:rPr>
      </w:pPr>
      <w:r>
        <w:rPr>
          <w:rFonts w:hint="eastAsia"/>
        </w:rPr>
        <w:t>were observed.</w:t>
      </w:r>
    </w:p>
    <w:p w14:paraId="60334314">
      <w:pPr>
        <w:pStyle w:val="2"/>
        <w:rPr>
          <w:rFonts w:hint="eastAsia"/>
        </w:rPr>
      </w:pPr>
    </w:p>
    <w:p w14:paraId="354CA2A0">
      <w:pPr>
        <w:pStyle w:val="2"/>
        <w:rPr>
          <w:rFonts w:hint="eastAsia"/>
        </w:rPr>
      </w:pPr>
      <w:r>
        <w:rPr>
          <w:rFonts w:hint="eastAsia"/>
        </w:rPr>
        <w:t>Copyright © 2026, Yadav et al.</w:t>
      </w:r>
    </w:p>
    <w:p w14:paraId="17456C90">
      <w:pPr>
        <w:pStyle w:val="2"/>
        <w:rPr>
          <w:rFonts w:hint="eastAsia"/>
        </w:rPr>
      </w:pPr>
    </w:p>
    <w:p w14:paraId="2B2FA292">
      <w:pPr>
        <w:pStyle w:val="2"/>
        <w:rPr>
          <w:rFonts w:hint="eastAsia"/>
        </w:rPr>
      </w:pPr>
      <w:r>
        <w:rPr>
          <w:rFonts w:hint="eastAsia"/>
        </w:rPr>
        <w:t>DOI: 10.7759/cureus.115987</w:t>
      </w:r>
    </w:p>
    <w:p w14:paraId="4CDD395A">
      <w:pPr>
        <w:pStyle w:val="2"/>
        <w:rPr>
          <w:rFonts w:hint="eastAsia"/>
        </w:rPr>
      </w:pPr>
      <w:r>
        <w:rPr>
          <w:rFonts w:hint="eastAsia"/>
        </w:rPr>
        <w:t>PMCID: PMC13650968</w:t>
      </w:r>
    </w:p>
    <w:p w14:paraId="6573E77B">
      <w:pPr>
        <w:pStyle w:val="2"/>
        <w:rPr>
          <w:rFonts w:hint="eastAsia"/>
        </w:rPr>
      </w:pPr>
      <w:r>
        <w:rPr>
          <w:rFonts w:hint="eastAsia"/>
        </w:rPr>
        <w:t>PMID: 42857557</w:t>
      </w:r>
    </w:p>
    <w:p w14:paraId="1FC27007">
      <w:pPr>
        <w:pStyle w:val="2"/>
        <w:rPr>
          <w:rFonts w:hint="eastAsia"/>
        </w:rPr>
      </w:pPr>
    </w:p>
    <w:p w14:paraId="3F2F82A8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6</w:t>
      </w:r>
      <w:r>
        <w:rPr>
          <w:rFonts w:hint="eastAsia"/>
          <w:b/>
          <w:bCs/>
          <w:color w:val="FF0000"/>
          <w:lang w:val="en-US" w:eastAsia="zh-CN"/>
        </w:rPr>
        <w:t>4</w:t>
      </w:r>
      <w:r>
        <w:rPr>
          <w:rFonts w:hint="eastAsia"/>
          <w:b/>
          <w:bCs/>
          <w:color w:val="FF0000"/>
        </w:rPr>
        <w:t>. Saf Health Work. 2026 Sep;17(3):299-307. doi: 10.1016/j.shaw.2026.05.003. Epub 2026 Jun 1.</w:t>
      </w:r>
    </w:p>
    <w:p w14:paraId="385DF931">
      <w:pPr>
        <w:pStyle w:val="2"/>
        <w:rPr>
          <w:rFonts w:hint="eastAsia"/>
        </w:rPr>
      </w:pPr>
    </w:p>
    <w:p w14:paraId="0F00F2F1">
      <w:pPr>
        <w:pStyle w:val="2"/>
        <w:rPr>
          <w:rFonts w:hint="eastAsia"/>
        </w:rPr>
      </w:pPr>
      <w:r>
        <w:rPr>
          <w:rFonts w:hint="eastAsia"/>
        </w:rPr>
        <w:t>Workplace HIV and TB Programmes for Laboratory Health Workers: A Rapid Review.</w:t>
      </w:r>
    </w:p>
    <w:p w14:paraId="191C60A8">
      <w:pPr>
        <w:pStyle w:val="2"/>
        <w:rPr>
          <w:rFonts w:hint="eastAsia"/>
        </w:rPr>
      </w:pPr>
    </w:p>
    <w:p w14:paraId="3FF87EAA">
      <w:pPr>
        <w:pStyle w:val="2"/>
        <w:rPr>
          <w:rFonts w:hint="eastAsia"/>
        </w:rPr>
      </w:pPr>
      <w:r>
        <w:rPr>
          <w:rFonts w:hint="eastAsia"/>
        </w:rPr>
        <w:t>Ramahlo S(1), Mlangeni N(1), Zungu M(1)(2)(3).</w:t>
      </w:r>
    </w:p>
    <w:p w14:paraId="5EB31AAB">
      <w:pPr>
        <w:pStyle w:val="2"/>
        <w:rPr>
          <w:rFonts w:hint="eastAsia"/>
        </w:rPr>
      </w:pPr>
    </w:p>
    <w:p w14:paraId="73BFEF5A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0A2006BE">
      <w:pPr>
        <w:pStyle w:val="2"/>
        <w:rPr>
          <w:rFonts w:hint="eastAsia"/>
        </w:rPr>
      </w:pPr>
      <w:r>
        <w:rPr>
          <w:rFonts w:hint="eastAsia"/>
        </w:rPr>
        <w:t xml:space="preserve">(1)National Institute of Occupational Health, National Health Laboratory </w:t>
      </w:r>
    </w:p>
    <w:p w14:paraId="7328EDC3">
      <w:pPr>
        <w:pStyle w:val="2"/>
        <w:rPr>
          <w:rFonts w:hint="eastAsia"/>
        </w:rPr>
      </w:pPr>
      <w:r>
        <w:rPr>
          <w:rFonts w:hint="eastAsia"/>
        </w:rPr>
        <w:t>Service, Johannesburg, South Africa.</w:t>
      </w:r>
    </w:p>
    <w:p w14:paraId="108C7D3C">
      <w:pPr>
        <w:pStyle w:val="2"/>
        <w:rPr>
          <w:rFonts w:hint="eastAsia"/>
        </w:rPr>
      </w:pPr>
      <w:r>
        <w:rPr>
          <w:rFonts w:hint="eastAsia"/>
        </w:rPr>
        <w:t xml:space="preserve">(2)School of Health Systems and Public Health, Faculty of Health Sciences, </w:t>
      </w:r>
    </w:p>
    <w:p w14:paraId="445A1E01">
      <w:pPr>
        <w:pStyle w:val="2"/>
        <w:rPr>
          <w:rFonts w:hint="eastAsia"/>
        </w:rPr>
      </w:pPr>
      <w:r>
        <w:rPr>
          <w:rFonts w:hint="eastAsia"/>
        </w:rPr>
        <w:t>University of Pretoria, Pretoria, South Africa.</w:t>
      </w:r>
    </w:p>
    <w:p w14:paraId="3F2FDB90">
      <w:pPr>
        <w:pStyle w:val="2"/>
        <w:rPr>
          <w:rFonts w:hint="eastAsia"/>
        </w:rPr>
      </w:pPr>
      <w:r>
        <w:rPr>
          <w:rFonts w:hint="eastAsia"/>
        </w:rPr>
        <w:t xml:space="preserve">(3)Department of Public Health, Faculty of Health Sciences, Walter Sisulu </w:t>
      </w:r>
    </w:p>
    <w:p w14:paraId="07BBDE47">
      <w:pPr>
        <w:pStyle w:val="2"/>
        <w:rPr>
          <w:rFonts w:hint="eastAsia"/>
        </w:rPr>
      </w:pPr>
      <w:r>
        <w:rPr>
          <w:rFonts w:hint="eastAsia"/>
        </w:rPr>
        <w:t>University, Mthatha, South Africa.</w:t>
      </w:r>
    </w:p>
    <w:p w14:paraId="28FEF9BF">
      <w:pPr>
        <w:pStyle w:val="2"/>
        <w:rPr>
          <w:rFonts w:hint="eastAsia"/>
        </w:rPr>
      </w:pPr>
    </w:p>
    <w:p w14:paraId="406B7A43">
      <w:pPr>
        <w:pStyle w:val="2"/>
        <w:rPr>
          <w:rFonts w:hint="eastAsia"/>
        </w:rPr>
      </w:pPr>
      <w:r>
        <w:rPr>
          <w:rFonts w:hint="eastAsia"/>
          <w:b/>
          <w:bCs/>
        </w:rPr>
        <w:t>INTRODUCTION:</w:t>
      </w:r>
      <w:r>
        <w:rPr>
          <w:rFonts w:hint="eastAsia"/>
        </w:rPr>
        <w:t xml:space="preserve"> Human immunodeficiency virus (HIV) and tuberculosis (TB) remain </w:t>
      </w:r>
    </w:p>
    <w:p w14:paraId="12F609AA">
      <w:pPr>
        <w:pStyle w:val="2"/>
        <w:rPr>
          <w:rFonts w:hint="eastAsia"/>
        </w:rPr>
      </w:pPr>
      <w:r>
        <w:rPr>
          <w:rFonts w:hint="eastAsia"/>
        </w:rPr>
        <w:t xml:space="preserve">global health challenges. Health workers (HWs), particularly laboratory HWs who </w:t>
      </w:r>
    </w:p>
    <w:p w14:paraId="23391AB5">
      <w:pPr>
        <w:pStyle w:val="2"/>
        <w:rPr>
          <w:rFonts w:hint="eastAsia"/>
        </w:rPr>
      </w:pPr>
      <w:r>
        <w:rPr>
          <w:rFonts w:hint="eastAsia"/>
        </w:rPr>
        <w:t xml:space="preserve">handle infectious samples, face increased occupational risks of infection. </w:t>
      </w:r>
    </w:p>
    <w:p w14:paraId="1E637E01">
      <w:pPr>
        <w:pStyle w:val="2"/>
        <w:rPr>
          <w:rFonts w:hint="eastAsia"/>
        </w:rPr>
      </w:pPr>
      <w:r>
        <w:rPr>
          <w:rFonts w:hint="eastAsia"/>
        </w:rPr>
        <w:t xml:space="preserve">Laboratory HWs are essential for disease diagnosis and monitoring, yet their </w:t>
      </w:r>
    </w:p>
    <w:p w14:paraId="6C8ACE71">
      <w:pPr>
        <w:pStyle w:val="2"/>
        <w:rPr>
          <w:rFonts w:hint="eastAsia"/>
        </w:rPr>
      </w:pPr>
      <w:r>
        <w:rPr>
          <w:rFonts w:hint="eastAsia"/>
        </w:rPr>
        <w:t xml:space="preserve">health is endangered by workplace exposures to HIV and TB, potentially leading </w:t>
      </w:r>
    </w:p>
    <w:p w14:paraId="62AD1E1A">
      <w:pPr>
        <w:pStyle w:val="2"/>
        <w:rPr>
          <w:rFonts w:hint="eastAsia"/>
        </w:rPr>
      </w:pPr>
      <w:r>
        <w:rPr>
          <w:rFonts w:hint="eastAsia"/>
        </w:rPr>
        <w:t xml:space="preserve">to workforce depletion and compromised healthcare delivery. Despite existing </w:t>
      </w:r>
    </w:p>
    <w:p w14:paraId="0BF640C7">
      <w:pPr>
        <w:pStyle w:val="2"/>
        <w:rPr>
          <w:rFonts w:hint="eastAsia"/>
        </w:rPr>
      </w:pPr>
      <w:r>
        <w:rPr>
          <w:rFonts w:hint="eastAsia"/>
        </w:rPr>
        <w:t xml:space="preserve">guidelines and policies for access and implementation of effective occupational </w:t>
      </w:r>
    </w:p>
    <w:p w14:paraId="2B38DCDC">
      <w:pPr>
        <w:pStyle w:val="2"/>
        <w:rPr>
          <w:rFonts w:hint="eastAsia"/>
        </w:rPr>
      </w:pPr>
      <w:r>
        <w:rPr>
          <w:rFonts w:hint="eastAsia"/>
        </w:rPr>
        <w:t xml:space="preserve">health services (OHS), including hazard identification, medical surveillance, </w:t>
      </w:r>
    </w:p>
    <w:p w14:paraId="751F5723">
      <w:pPr>
        <w:pStyle w:val="2"/>
        <w:rPr>
          <w:rFonts w:hint="eastAsia"/>
        </w:rPr>
      </w:pPr>
      <w:r>
        <w:rPr>
          <w:rFonts w:hint="eastAsia"/>
        </w:rPr>
        <w:t xml:space="preserve">and postexposure preventive treatment, these are often obstructed by resource </w:t>
      </w:r>
    </w:p>
    <w:p w14:paraId="127CA0DD">
      <w:pPr>
        <w:pStyle w:val="2"/>
        <w:rPr>
          <w:rFonts w:hint="eastAsia"/>
        </w:rPr>
      </w:pPr>
      <w:r>
        <w:rPr>
          <w:rFonts w:hint="eastAsia"/>
        </w:rPr>
        <w:t>limitations.</w:t>
      </w:r>
    </w:p>
    <w:p w14:paraId="3CD59543">
      <w:pPr>
        <w:pStyle w:val="2"/>
        <w:rPr>
          <w:rFonts w:hint="eastAsia"/>
        </w:rPr>
      </w:pPr>
      <w:r>
        <w:rPr>
          <w:rFonts w:hint="eastAsia"/>
          <w:b/>
          <w:bCs/>
        </w:rPr>
        <w:t>OBJECTIVE:</w:t>
      </w:r>
      <w:r>
        <w:rPr>
          <w:rFonts w:hint="eastAsia"/>
        </w:rPr>
        <w:t xml:space="preserve"> This review paper discusses the morbidity of HIV and TB among </w:t>
      </w:r>
    </w:p>
    <w:p w14:paraId="363A244C">
      <w:pPr>
        <w:pStyle w:val="2"/>
        <w:rPr>
          <w:rFonts w:hint="eastAsia"/>
        </w:rPr>
      </w:pPr>
      <w:r>
        <w:rPr>
          <w:rFonts w:hint="eastAsia"/>
        </w:rPr>
        <w:t xml:space="preserve">laboratory HWs, and explores the enablers and barriers to accessing HIV and TB </w:t>
      </w:r>
    </w:p>
    <w:p w14:paraId="0FDA116A">
      <w:pPr>
        <w:pStyle w:val="2"/>
        <w:rPr>
          <w:rFonts w:hint="eastAsia"/>
        </w:rPr>
      </w:pPr>
      <w:r>
        <w:rPr>
          <w:rFonts w:hint="eastAsia"/>
        </w:rPr>
        <w:t>OHS.</w:t>
      </w:r>
    </w:p>
    <w:p w14:paraId="3A3EF163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METHODS: </w:t>
      </w:r>
      <w:r>
        <w:rPr>
          <w:rFonts w:hint="eastAsia"/>
        </w:rPr>
        <w:t xml:space="preserve">A literature search was conducted using the EBSCOhost databases. </w:t>
      </w:r>
    </w:p>
    <w:p w14:paraId="0A234F1B">
      <w:pPr>
        <w:pStyle w:val="2"/>
        <w:rPr>
          <w:rFonts w:hint="eastAsia"/>
        </w:rPr>
      </w:pPr>
      <w:r>
        <w:rPr>
          <w:rFonts w:hint="eastAsia"/>
        </w:rPr>
        <w:t xml:space="preserve">Relevant keywords identified studies related to HWs, specifically laboratory </w:t>
      </w:r>
    </w:p>
    <w:p w14:paraId="3A9E793D">
      <w:pPr>
        <w:pStyle w:val="2"/>
        <w:rPr>
          <w:rFonts w:hint="eastAsia"/>
        </w:rPr>
      </w:pPr>
      <w:r>
        <w:rPr>
          <w:rFonts w:hint="eastAsia"/>
        </w:rPr>
        <w:t xml:space="preserve">HWs. Eligible studies were organised using a flow diagram, resulting in 13 </w:t>
      </w:r>
    </w:p>
    <w:p w14:paraId="09F0CC60">
      <w:pPr>
        <w:pStyle w:val="2"/>
        <w:rPr>
          <w:rFonts w:hint="eastAsia"/>
        </w:rPr>
      </w:pPr>
      <w:r>
        <w:rPr>
          <w:rFonts w:hint="eastAsia"/>
        </w:rPr>
        <w:t xml:space="preserve">papers. Data concerning morbidity, enabling factors, barriers, and </w:t>
      </w:r>
    </w:p>
    <w:p w14:paraId="5D2CA6E8">
      <w:pPr>
        <w:pStyle w:val="2"/>
        <w:rPr>
          <w:rFonts w:hint="eastAsia"/>
        </w:rPr>
      </w:pPr>
      <w:r>
        <w:rPr>
          <w:rFonts w:hint="eastAsia"/>
        </w:rPr>
        <w:t>recommendations were extracted using a modified tool.</w:t>
      </w:r>
    </w:p>
    <w:p w14:paraId="347FB82E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Studies consistently demonstrate a high prevalence of latent TB </w:t>
      </w:r>
    </w:p>
    <w:p w14:paraId="1E88B2AA">
      <w:pPr>
        <w:pStyle w:val="2"/>
        <w:rPr>
          <w:rFonts w:hint="eastAsia"/>
        </w:rPr>
      </w:pPr>
      <w:r>
        <w:rPr>
          <w:rFonts w:hint="eastAsia"/>
        </w:rPr>
        <w:t xml:space="preserve">Infection and active TB among laboratory HWs handling mycobacteria. Barriers to </w:t>
      </w:r>
    </w:p>
    <w:p w14:paraId="7E5356A3">
      <w:pPr>
        <w:pStyle w:val="2"/>
        <w:rPr>
          <w:rFonts w:hint="eastAsia"/>
        </w:rPr>
      </w:pPr>
      <w:r>
        <w:rPr>
          <w:rFonts w:hint="eastAsia"/>
        </w:rPr>
        <w:t xml:space="preserve">accessing OHS are more frequently reported than enablers, and HIV data specific </w:t>
      </w:r>
    </w:p>
    <w:p w14:paraId="3736999A">
      <w:pPr>
        <w:pStyle w:val="2"/>
        <w:rPr>
          <w:rFonts w:hint="eastAsia"/>
        </w:rPr>
      </w:pPr>
      <w:r>
        <w:rPr>
          <w:rFonts w:hint="eastAsia"/>
        </w:rPr>
        <w:t xml:space="preserve">to laboratory HWs were limited. Recommended interventions include enhanced </w:t>
      </w:r>
    </w:p>
    <w:p w14:paraId="65EF7705">
      <w:pPr>
        <w:pStyle w:val="2"/>
        <w:rPr>
          <w:rFonts w:hint="eastAsia"/>
        </w:rPr>
      </w:pPr>
      <w:r>
        <w:rPr>
          <w:rFonts w:hint="eastAsia"/>
        </w:rPr>
        <w:t xml:space="preserve">surveillance, stronger OHS programmes, and integrating OHS and infection </w:t>
      </w:r>
    </w:p>
    <w:p w14:paraId="5B9B37AE">
      <w:pPr>
        <w:pStyle w:val="2"/>
        <w:rPr>
          <w:rFonts w:hint="eastAsia"/>
        </w:rPr>
      </w:pPr>
      <w:r>
        <w:rPr>
          <w:rFonts w:hint="eastAsia"/>
        </w:rPr>
        <w:t>control.</w:t>
      </w:r>
    </w:p>
    <w:p w14:paraId="79072F55">
      <w:pPr>
        <w:pStyle w:val="2"/>
        <w:rPr>
          <w:rFonts w:hint="eastAsia"/>
        </w:rPr>
      </w:pPr>
      <w:r>
        <w:rPr>
          <w:rFonts w:hint="eastAsia"/>
          <w:b/>
          <w:bCs/>
        </w:rPr>
        <w:t>CONCLUSION:</w:t>
      </w:r>
      <w:r>
        <w:rPr>
          <w:rFonts w:hint="eastAsia"/>
        </w:rPr>
        <w:t xml:space="preserve"> Despite growing evidence, gaps remain in implementation, and further </w:t>
      </w:r>
    </w:p>
    <w:p w14:paraId="51B15EFB">
      <w:pPr>
        <w:pStyle w:val="2"/>
        <w:rPr>
          <w:rFonts w:hint="eastAsia"/>
        </w:rPr>
      </w:pPr>
      <w:r>
        <w:rPr>
          <w:rFonts w:hint="eastAsia"/>
        </w:rPr>
        <w:t>studies are needed to assess the real-world application of recommended measures.</w:t>
      </w:r>
    </w:p>
    <w:p w14:paraId="0EF44B53">
      <w:pPr>
        <w:pStyle w:val="2"/>
        <w:rPr>
          <w:rFonts w:hint="eastAsia"/>
        </w:rPr>
      </w:pPr>
    </w:p>
    <w:p w14:paraId="06D36435">
      <w:pPr>
        <w:pStyle w:val="2"/>
        <w:rPr>
          <w:rFonts w:hint="eastAsia"/>
        </w:rPr>
      </w:pPr>
      <w:r>
        <w:rPr>
          <w:rFonts w:hint="eastAsia"/>
        </w:rPr>
        <w:t xml:space="preserve">© 2026 Occupational Safety and Health Research Institute. Published by Elsevier </w:t>
      </w:r>
    </w:p>
    <w:p w14:paraId="2E979DE1">
      <w:pPr>
        <w:pStyle w:val="2"/>
        <w:rPr>
          <w:rFonts w:hint="eastAsia"/>
        </w:rPr>
      </w:pPr>
      <w:r>
        <w:rPr>
          <w:rFonts w:hint="eastAsia"/>
        </w:rPr>
        <w:t xml:space="preserve">B.V. on behalf of Institute, Occupational Safety and Health Research Institute, </w:t>
      </w:r>
    </w:p>
    <w:p w14:paraId="16FEC2C5">
      <w:pPr>
        <w:pStyle w:val="2"/>
        <w:rPr>
          <w:rFonts w:hint="eastAsia"/>
        </w:rPr>
      </w:pPr>
      <w:r>
        <w:rPr>
          <w:rFonts w:hint="eastAsia"/>
        </w:rPr>
        <w:t>Korea Occupational Safety and Health Agency.</w:t>
      </w:r>
    </w:p>
    <w:p w14:paraId="1E630D54">
      <w:pPr>
        <w:pStyle w:val="2"/>
        <w:rPr>
          <w:rFonts w:hint="eastAsia"/>
        </w:rPr>
      </w:pPr>
    </w:p>
    <w:p w14:paraId="40D47112">
      <w:pPr>
        <w:pStyle w:val="2"/>
        <w:rPr>
          <w:rFonts w:hint="eastAsia"/>
        </w:rPr>
      </w:pPr>
      <w:r>
        <w:rPr>
          <w:rFonts w:hint="eastAsia"/>
        </w:rPr>
        <w:t>DOI: 10.1016/j.shaw.2026.05.003</w:t>
      </w:r>
    </w:p>
    <w:p w14:paraId="3730CC9F">
      <w:pPr>
        <w:pStyle w:val="2"/>
        <w:rPr>
          <w:rFonts w:hint="eastAsia"/>
        </w:rPr>
      </w:pPr>
      <w:r>
        <w:rPr>
          <w:rFonts w:hint="eastAsia"/>
        </w:rPr>
        <w:t>PMCID: PMC13650358</w:t>
      </w:r>
    </w:p>
    <w:p w14:paraId="6DAE1568">
      <w:pPr>
        <w:pStyle w:val="2"/>
        <w:rPr>
          <w:rFonts w:hint="eastAsia"/>
        </w:rPr>
      </w:pPr>
      <w:r>
        <w:rPr>
          <w:rFonts w:hint="eastAsia"/>
        </w:rPr>
        <w:t>PMID: 42857307</w:t>
      </w:r>
    </w:p>
    <w:p w14:paraId="357294B9">
      <w:pPr>
        <w:pStyle w:val="2"/>
        <w:rPr>
          <w:rFonts w:hint="eastAsia"/>
        </w:rPr>
      </w:pPr>
    </w:p>
    <w:p w14:paraId="7F63FA10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65</w:t>
      </w:r>
      <w:r>
        <w:rPr>
          <w:rFonts w:hint="eastAsia"/>
          <w:b/>
          <w:bCs/>
          <w:color w:val="FF0000"/>
        </w:rPr>
        <w:t xml:space="preserve">. Open Forum Infect Dis. 2026 Oct 3;13(10):ofag614. doi: 10.1093/ofid/ofag614. </w:t>
      </w:r>
    </w:p>
    <w:p w14:paraId="6923E690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 Oct.</w:t>
      </w:r>
    </w:p>
    <w:p w14:paraId="3389DE29">
      <w:pPr>
        <w:pStyle w:val="2"/>
        <w:rPr>
          <w:rFonts w:hint="eastAsia"/>
        </w:rPr>
      </w:pPr>
    </w:p>
    <w:p w14:paraId="18C9F75D">
      <w:pPr>
        <w:pStyle w:val="2"/>
        <w:rPr>
          <w:rFonts w:hint="eastAsia"/>
        </w:rPr>
      </w:pPr>
      <w:r>
        <w:rPr>
          <w:rFonts w:hint="eastAsia"/>
        </w:rPr>
        <w:t xml:space="preserve">Tongue Swab Xpert MTB/RIF Ultra Testing for Tuberculosis in Adolescents: A </w:t>
      </w:r>
    </w:p>
    <w:p w14:paraId="7391F0F9">
      <w:pPr>
        <w:pStyle w:val="2"/>
        <w:rPr>
          <w:rFonts w:hint="eastAsia"/>
        </w:rPr>
      </w:pPr>
      <w:r>
        <w:rPr>
          <w:rFonts w:hint="eastAsia"/>
        </w:rPr>
        <w:t>Cross-sectional Study of Diagnostic Accuracy and Acceptability.</w:t>
      </w:r>
    </w:p>
    <w:p w14:paraId="187C2106">
      <w:pPr>
        <w:pStyle w:val="2"/>
        <w:rPr>
          <w:rFonts w:hint="eastAsia"/>
        </w:rPr>
      </w:pPr>
    </w:p>
    <w:p w14:paraId="6F801CB3">
      <w:pPr>
        <w:pStyle w:val="2"/>
        <w:rPr>
          <w:rFonts w:hint="eastAsia"/>
        </w:rPr>
      </w:pPr>
      <w:r>
        <w:rPr>
          <w:rFonts w:hint="eastAsia"/>
        </w:rPr>
        <w:t xml:space="preserve">MacLean EL(1)(2), Ma TT(3), Chuong LH(3), Minh KH(3), Hoddinott G(2)(4)(5)(6), </w:t>
      </w:r>
    </w:p>
    <w:p w14:paraId="6B2D09CF">
      <w:pPr>
        <w:pStyle w:val="2"/>
        <w:rPr>
          <w:rFonts w:hint="eastAsia"/>
        </w:rPr>
      </w:pPr>
      <w:r>
        <w:rPr>
          <w:rFonts w:hint="eastAsia"/>
        </w:rPr>
        <w:t>Pham YN(3), Hua TT(7), Nguyen TA(3)(4), Fox GJ(1)(2)(3), Nguyen TN(7).</w:t>
      </w:r>
    </w:p>
    <w:p w14:paraId="2E81DFAD">
      <w:pPr>
        <w:pStyle w:val="2"/>
        <w:rPr>
          <w:rFonts w:hint="eastAsia"/>
        </w:rPr>
      </w:pPr>
    </w:p>
    <w:p w14:paraId="44270C46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55B00E19">
      <w:pPr>
        <w:pStyle w:val="2"/>
        <w:rPr>
          <w:rFonts w:hint="eastAsia"/>
        </w:rPr>
      </w:pPr>
      <w:r>
        <w:rPr>
          <w:rFonts w:hint="eastAsia"/>
        </w:rPr>
        <w:t xml:space="preserve">(1)National Health and Medical Research Council Clinical Trials Centre, Faculty </w:t>
      </w:r>
    </w:p>
    <w:p w14:paraId="4DF7CC7E">
      <w:pPr>
        <w:pStyle w:val="2"/>
        <w:rPr>
          <w:rFonts w:hint="eastAsia"/>
        </w:rPr>
      </w:pPr>
      <w:r>
        <w:rPr>
          <w:rFonts w:hint="eastAsia"/>
        </w:rPr>
        <w:t xml:space="preserve">of Medicine and Health, The University of Sydney, Sydney, New South Wales, </w:t>
      </w:r>
    </w:p>
    <w:p w14:paraId="2B5C7CF6">
      <w:pPr>
        <w:pStyle w:val="2"/>
        <w:rPr>
          <w:rFonts w:hint="eastAsia"/>
        </w:rPr>
      </w:pPr>
      <w:r>
        <w:rPr>
          <w:rFonts w:hint="eastAsia"/>
        </w:rPr>
        <w:t>Australia.</w:t>
      </w:r>
    </w:p>
    <w:p w14:paraId="1C177A20">
      <w:pPr>
        <w:pStyle w:val="2"/>
        <w:rPr>
          <w:rFonts w:hint="eastAsia"/>
        </w:rPr>
      </w:pPr>
      <w:r>
        <w:rPr>
          <w:rFonts w:hint="eastAsia"/>
        </w:rPr>
        <w:t xml:space="preserve">(2)Sydney Infectious Diseases Institute, The University of Sydney, Sydney, New </w:t>
      </w:r>
    </w:p>
    <w:p w14:paraId="08BF004E">
      <w:pPr>
        <w:pStyle w:val="2"/>
        <w:rPr>
          <w:rFonts w:hint="eastAsia"/>
        </w:rPr>
      </w:pPr>
      <w:r>
        <w:rPr>
          <w:rFonts w:hint="eastAsia"/>
        </w:rPr>
        <w:t>South Wales, Australia.</w:t>
      </w:r>
    </w:p>
    <w:p w14:paraId="41E825AE">
      <w:pPr>
        <w:pStyle w:val="2"/>
        <w:rPr>
          <w:rFonts w:hint="eastAsia"/>
        </w:rPr>
      </w:pPr>
      <w:r>
        <w:rPr>
          <w:rFonts w:hint="eastAsia"/>
        </w:rPr>
        <w:t xml:space="preserve">(3)The University of Sydney Vietnam Institute, The University of Sydney, Ho Chi </w:t>
      </w:r>
    </w:p>
    <w:p w14:paraId="58A28FDD">
      <w:pPr>
        <w:pStyle w:val="2"/>
        <w:rPr>
          <w:rFonts w:hint="eastAsia"/>
        </w:rPr>
      </w:pPr>
      <w:r>
        <w:rPr>
          <w:rFonts w:hint="eastAsia"/>
        </w:rPr>
        <w:t>Minh City, Vietnam.</w:t>
      </w:r>
    </w:p>
    <w:p w14:paraId="23995F47">
      <w:pPr>
        <w:pStyle w:val="2"/>
        <w:rPr>
          <w:rFonts w:hint="eastAsia"/>
        </w:rPr>
      </w:pPr>
      <w:r>
        <w:rPr>
          <w:rFonts w:hint="eastAsia"/>
        </w:rPr>
        <w:t xml:space="preserve">(4)School of Public Health, Faculty of Medicine and Health, The University of </w:t>
      </w:r>
    </w:p>
    <w:p w14:paraId="63F1000A">
      <w:pPr>
        <w:pStyle w:val="2"/>
        <w:rPr>
          <w:rFonts w:hint="eastAsia"/>
        </w:rPr>
      </w:pPr>
      <w:r>
        <w:rPr>
          <w:rFonts w:hint="eastAsia"/>
        </w:rPr>
        <w:t>Sydney, Sydney, New South Wales, Australia.</w:t>
      </w:r>
    </w:p>
    <w:p w14:paraId="51A7D107">
      <w:pPr>
        <w:pStyle w:val="2"/>
        <w:rPr>
          <w:rFonts w:hint="eastAsia"/>
        </w:rPr>
      </w:pPr>
      <w:r>
        <w:rPr>
          <w:rFonts w:hint="eastAsia"/>
        </w:rPr>
        <w:t xml:space="preserve">(5)Desmond Tutu TB Centre, Department of Paediatrics and Child Health, Faculty </w:t>
      </w:r>
    </w:p>
    <w:p w14:paraId="5491E14A">
      <w:pPr>
        <w:pStyle w:val="2"/>
        <w:rPr>
          <w:rFonts w:hint="eastAsia"/>
        </w:rPr>
      </w:pPr>
      <w:r>
        <w:rPr>
          <w:rFonts w:hint="eastAsia"/>
        </w:rPr>
        <w:t xml:space="preserve">of Medicine and Health Sciences, Stellenbosch University, Cape Town, South </w:t>
      </w:r>
    </w:p>
    <w:p w14:paraId="628B1789">
      <w:pPr>
        <w:pStyle w:val="2"/>
        <w:rPr>
          <w:rFonts w:hint="eastAsia"/>
        </w:rPr>
      </w:pPr>
      <w:r>
        <w:rPr>
          <w:rFonts w:hint="eastAsia"/>
        </w:rPr>
        <w:t>Africa.</w:t>
      </w:r>
    </w:p>
    <w:p w14:paraId="00291F21">
      <w:pPr>
        <w:pStyle w:val="2"/>
        <w:rPr>
          <w:rFonts w:hint="eastAsia"/>
        </w:rPr>
      </w:pPr>
      <w:r>
        <w:rPr>
          <w:rFonts w:hint="eastAsia"/>
        </w:rPr>
        <w:t xml:space="preserve">(6)Department of Human, Biological and Translational Medical Science, School of </w:t>
      </w:r>
    </w:p>
    <w:p w14:paraId="6D324E38">
      <w:pPr>
        <w:pStyle w:val="2"/>
        <w:rPr>
          <w:rFonts w:hint="eastAsia"/>
        </w:rPr>
      </w:pPr>
      <w:r>
        <w:rPr>
          <w:rFonts w:hint="eastAsia"/>
        </w:rPr>
        <w:t>Medicine, University of Namibia, Windhoek, Namibia.</w:t>
      </w:r>
    </w:p>
    <w:p w14:paraId="54F3AE6D">
      <w:pPr>
        <w:pStyle w:val="2"/>
        <w:rPr>
          <w:rFonts w:hint="eastAsia"/>
        </w:rPr>
      </w:pPr>
      <w:r>
        <w:rPr>
          <w:rFonts w:hint="eastAsia"/>
        </w:rPr>
        <w:t>(7)Can Tho Lung Hospital, Can Tho, Vietnam.</w:t>
      </w:r>
    </w:p>
    <w:p w14:paraId="0486C59B">
      <w:pPr>
        <w:pStyle w:val="2"/>
        <w:rPr>
          <w:rFonts w:hint="eastAsia"/>
        </w:rPr>
      </w:pPr>
    </w:p>
    <w:p w14:paraId="57BDB441">
      <w:pPr>
        <w:pStyle w:val="2"/>
        <w:rPr>
          <w:rFonts w:hint="eastAsia"/>
        </w:rPr>
      </w:pPr>
      <w:r>
        <w:rPr>
          <w:rFonts w:hint="eastAsia"/>
          <w:b/>
          <w:bCs/>
        </w:rPr>
        <w:t>BACKGROUND:</w:t>
      </w:r>
      <w:r>
        <w:rPr>
          <w:rFonts w:hint="eastAsia"/>
        </w:rPr>
        <w:t xml:space="preserve"> Improved diagnostics are needed for tuberculosis (TB) among </w:t>
      </w:r>
    </w:p>
    <w:p w14:paraId="103FADD4">
      <w:pPr>
        <w:pStyle w:val="2"/>
        <w:rPr>
          <w:rFonts w:hint="eastAsia"/>
        </w:rPr>
      </w:pPr>
      <w:r>
        <w:rPr>
          <w:rFonts w:hint="eastAsia"/>
        </w:rPr>
        <w:t xml:space="preserve">adolescents. Tongue swab (TS) molecular testing is a promising strategy for TB </w:t>
      </w:r>
    </w:p>
    <w:p w14:paraId="346FA307">
      <w:pPr>
        <w:pStyle w:val="2"/>
        <w:rPr>
          <w:rFonts w:hint="eastAsia"/>
        </w:rPr>
      </w:pPr>
      <w:r>
        <w:rPr>
          <w:rFonts w:hint="eastAsia"/>
        </w:rPr>
        <w:t xml:space="preserve">testing. We evaluated diagnostic accuracy and acceptability of Xpert MTB/RIF </w:t>
      </w:r>
    </w:p>
    <w:p w14:paraId="65C7236E">
      <w:pPr>
        <w:pStyle w:val="2"/>
        <w:rPr>
          <w:rFonts w:hint="eastAsia"/>
        </w:rPr>
      </w:pPr>
      <w:r>
        <w:rPr>
          <w:rFonts w:hint="eastAsia"/>
        </w:rPr>
        <w:t>Ultra ("Xpert") using TSs for TB detection in adolescents.</w:t>
      </w:r>
    </w:p>
    <w:p w14:paraId="2673C5BC">
      <w:pPr>
        <w:pStyle w:val="2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We conducted a cross-sectional diagnostic accuracy study in southern </w:t>
      </w:r>
    </w:p>
    <w:p w14:paraId="47C088D7">
      <w:pPr>
        <w:pStyle w:val="2"/>
        <w:rPr>
          <w:rFonts w:hint="eastAsia"/>
        </w:rPr>
      </w:pPr>
      <w:r>
        <w:rPr>
          <w:rFonts w:hint="eastAsia"/>
        </w:rPr>
        <w:t xml:space="preserve">Vietnam. Adolescents aged 10-19 years who were recommended to undergo </w:t>
      </w:r>
    </w:p>
    <w:p w14:paraId="1406BC32">
      <w:pPr>
        <w:pStyle w:val="2"/>
        <w:rPr>
          <w:rFonts w:hint="eastAsia"/>
        </w:rPr>
      </w:pPr>
      <w:r>
        <w:rPr>
          <w:rFonts w:hint="eastAsia"/>
        </w:rPr>
        <w:t xml:space="preserve">investigation for TB were eligible. Participants provided TS and sputum samples </w:t>
      </w:r>
    </w:p>
    <w:p w14:paraId="51BF127C">
      <w:pPr>
        <w:pStyle w:val="2"/>
        <w:rPr>
          <w:rFonts w:hint="eastAsia"/>
        </w:rPr>
      </w:pPr>
      <w:r>
        <w:rPr>
          <w:rFonts w:hint="eastAsia"/>
        </w:rPr>
        <w:t xml:space="preserve">and were surveyed regarding sampling experiences. TS samples were tested on </w:t>
      </w:r>
    </w:p>
    <w:p w14:paraId="7677EA14">
      <w:pPr>
        <w:pStyle w:val="2"/>
        <w:rPr>
          <w:rFonts w:hint="eastAsia"/>
        </w:rPr>
      </w:pPr>
      <w:r>
        <w:rPr>
          <w:rFonts w:hint="eastAsia"/>
        </w:rPr>
        <w:t xml:space="preserve">Xpert, with sputum tested on Xpert and liquid culture. We utilized a composite </w:t>
      </w:r>
    </w:p>
    <w:p w14:paraId="6A5DDB49">
      <w:pPr>
        <w:pStyle w:val="2"/>
        <w:rPr>
          <w:rFonts w:hint="eastAsia"/>
        </w:rPr>
      </w:pPr>
      <w:r>
        <w:rPr>
          <w:rFonts w:hint="eastAsia"/>
        </w:rPr>
        <w:t xml:space="preserve">reference standard of a positive sputum Xpert or culture result to define </w:t>
      </w:r>
    </w:p>
    <w:p w14:paraId="42B2FC19">
      <w:pPr>
        <w:pStyle w:val="2"/>
        <w:rPr>
          <w:rFonts w:hint="eastAsia"/>
        </w:rPr>
      </w:pPr>
      <w:r>
        <w:rPr>
          <w:rFonts w:hint="eastAsia"/>
        </w:rPr>
        <w:t xml:space="preserve">disease status. Sensitivity, specificity, and diagnostic yield were calculated </w:t>
      </w:r>
    </w:p>
    <w:p w14:paraId="3E6F5D15">
      <w:pPr>
        <w:pStyle w:val="2"/>
        <w:rPr>
          <w:rFonts w:hint="eastAsia"/>
        </w:rPr>
      </w:pPr>
      <w:r>
        <w:rPr>
          <w:rFonts w:hint="eastAsia"/>
        </w:rPr>
        <w:t>for TS Xpert.</w:t>
      </w:r>
    </w:p>
    <w:p w14:paraId="7536C162">
      <w:pPr>
        <w:pStyle w:val="2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From July to December 2025, we enrolled 225 adolescents. Most </w:t>
      </w:r>
    </w:p>
    <w:p w14:paraId="71BCB3DD">
      <w:pPr>
        <w:pStyle w:val="2"/>
        <w:rPr>
          <w:rFonts w:hint="eastAsia"/>
        </w:rPr>
      </w:pPr>
      <w:r>
        <w:rPr>
          <w:rFonts w:hint="eastAsia"/>
        </w:rPr>
        <w:t xml:space="preserve">participants (157/225 [70%]) were close contacts of a person recently diagnosed </w:t>
      </w:r>
    </w:p>
    <w:p w14:paraId="1BD8B686">
      <w:pPr>
        <w:pStyle w:val="2"/>
        <w:rPr>
          <w:rFonts w:hint="eastAsia"/>
        </w:rPr>
      </w:pPr>
      <w:r>
        <w:rPr>
          <w:rFonts w:hint="eastAsia"/>
        </w:rPr>
        <w:t xml:space="preserve">with TB and many (129/225 [57%]) did not exhibit symptoms of presumptive TB. All </w:t>
      </w:r>
    </w:p>
    <w:p w14:paraId="5120806E">
      <w:pPr>
        <w:pStyle w:val="2"/>
        <w:rPr>
          <w:rFonts w:hint="eastAsia"/>
        </w:rPr>
      </w:pPr>
      <w:r>
        <w:rPr>
          <w:rFonts w:hint="eastAsia"/>
        </w:rPr>
        <w:t xml:space="preserve">adolescents could provide a TS, while 116 (52%) could produce mucopurulent </w:t>
      </w:r>
    </w:p>
    <w:p w14:paraId="620BBE0D">
      <w:pPr>
        <w:pStyle w:val="2"/>
        <w:rPr>
          <w:rFonts w:hint="eastAsia"/>
        </w:rPr>
      </w:pPr>
      <w:r>
        <w:rPr>
          <w:rFonts w:hint="eastAsia"/>
        </w:rPr>
        <w:t xml:space="preserve">sputum. Tuberculosis prevalence was relatively low (12/225 [5.3%]). TS Xpert </w:t>
      </w:r>
    </w:p>
    <w:p w14:paraId="4657C68F">
      <w:pPr>
        <w:pStyle w:val="2"/>
        <w:rPr>
          <w:rFonts w:hint="eastAsia"/>
        </w:rPr>
      </w:pPr>
      <w:r>
        <w:rPr>
          <w:rFonts w:hint="eastAsia"/>
        </w:rPr>
        <w:t xml:space="preserve">sensitivity and specificity were 58.3% (90% confidence interval [CI], </w:t>
      </w:r>
    </w:p>
    <w:p w14:paraId="058EF80A">
      <w:pPr>
        <w:pStyle w:val="2"/>
        <w:rPr>
          <w:rFonts w:hint="eastAsia"/>
        </w:rPr>
      </w:pPr>
      <w:r>
        <w:rPr>
          <w:rFonts w:hint="eastAsia"/>
        </w:rPr>
        <w:t xml:space="preserve">35.6%-78.0%) and 99.5% (90% CI, 97.9%-99.9%), respectively. TS diagnostic yield </w:t>
      </w:r>
    </w:p>
    <w:p w14:paraId="5232BD7C">
      <w:pPr>
        <w:pStyle w:val="2"/>
        <w:rPr>
          <w:rFonts w:hint="eastAsia"/>
        </w:rPr>
      </w:pPr>
      <w:r>
        <w:rPr>
          <w:rFonts w:hint="eastAsia"/>
        </w:rPr>
        <w:t xml:space="preserve">among all diagnosed was 58.3% (7/12). TS sampling was highly acceptable to </w:t>
      </w:r>
    </w:p>
    <w:p w14:paraId="378F8533">
      <w:pPr>
        <w:pStyle w:val="2"/>
        <w:rPr>
          <w:rFonts w:hint="eastAsia"/>
        </w:rPr>
      </w:pPr>
      <w:r>
        <w:rPr>
          <w:rFonts w:hint="eastAsia"/>
        </w:rPr>
        <w:t xml:space="preserve">adolescents; the quickness and simplicity of collecting TSs were considered </w:t>
      </w:r>
    </w:p>
    <w:p w14:paraId="348C89D5">
      <w:pPr>
        <w:pStyle w:val="2"/>
        <w:rPr>
          <w:rFonts w:hint="eastAsia"/>
        </w:rPr>
      </w:pPr>
      <w:r>
        <w:rPr>
          <w:rFonts w:hint="eastAsia"/>
        </w:rPr>
        <w:t>favorably.</w:t>
      </w:r>
    </w:p>
    <w:p w14:paraId="6B6AF807">
      <w:pPr>
        <w:pStyle w:val="2"/>
        <w:rPr>
          <w:rFonts w:hint="eastAsia"/>
        </w:rPr>
      </w:pPr>
      <w:r>
        <w:rPr>
          <w:rFonts w:hint="eastAsia"/>
          <w:b/>
          <w:bCs/>
        </w:rPr>
        <w:t>CONCLUSIONS:</w:t>
      </w:r>
      <w:r>
        <w:rPr>
          <w:rFonts w:hint="eastAsia"/>
        </w:rPr>
        <w:t xml:space="preserve"> TS Xpert sensitivity and diagnostic yield were relatively low among </w:t>
      </w:r>
    </w:p>
    <w:p w14:paraId="688E8E31">
      <w:pPr>
        <w:pStyle w:val="2"/>
        <w:rPr>
          <w:rFonts w:hint="eastAsia"/>
        </w:rPr>
      </w:pPr>
      <w:r>
        <w:rPr>
          <w:rFonts w:hint="eastAsia"/>
        </w:rPr>
        <w:t xml:space="preserve">adolescents recommended for TB investigation. All participants were able to </w:t>
      </w:r>
    </w:p>
    <w:p w14:paraId="24E22306">
      <w:pPr>
        <w:pStyle w:val="2"/>
        <w:rPr>
          <w:rFonts w:hint="eastAsia"/>
        </w:rPr>
      </w:pPr>
      <w:r>
        <w:rPr>
          <w:rFonts w:hint="eastAsia"/>
        </w:rPr>
        <w:t xml:space="preserve">provide a TS. Specificity was excellent. TS's high acceptability indicates it </w:t>
      </w:r>
    </w:p>
    <w:p w14:paraId="13F8D8A2">
      <w:pPr>
        <w:pStyle w:val="2"/>
        <w:rPr>
          <w:rFonts w:hint="eastAsia"/>
        </w:rPr>
      </w:pPr>
      <w:r>
        <w:rPr>
          <w:rFonts w:hint="eastAsia"/>
        </w:rPr>
        <w:t>remains a promising sample for diagnostic algorithms.</w:t>
      </w:r>
    </w:p>
    <w:p w14:paraId="24E25A9D">
      <w:pPr>
        <w:pStyle w:val="2"/>
        <w:rPr>
          <w:rFonts w:hint="eastAsia"/>
        </w:rPr>
      </w:pPr>
    </w:p>
    <w:p w14:paraId="06C7D9CD">
      <w:pPr>
        <w:pStyle w:val="2"/>
        <w:rPr>
          <w:rFonts w:hint="eastAsia"/>
        </w:rPr>
      </w:pPr>
      <w:r>
        <w:rPr>
          <w:rFonts w:hint="eastAsia"/>
        </w:rPr>
        <w:t xml:space="preserve">© The Author(s) 2026. Published by Oxford University Press on behalf of </w:t>
      </w:r>
    </w:p>
    <w:p w14:paraId="261E34A0">
      <w:pPr>
        <w:pStyle w:val="2"/>
        <w:rPr>
          <w:rFonts w:hint="eastAsia"/>
        </w:rPr>
      </w:pPr>
      <w:r>
        <w:rPr>
          <w:rFonts w:hint="eastAsia"/>
        </w:rPr>
        <w:t>Infectious Diseases Society of America.</w:t>
      </w:r>
    </w:p>
    <w:p w14:paraId="2162D8D0">
      <w:pPr>
        <w:pStyle w:val="2"/>
        <w:rPr>
          <w:rFonts w:hint="eastAsia"/>
        </w:rPr>
      </w:pPr>
    </w:p>
    <w:p w14:paraId="5B68DA03">
      <w:pPr>
        <w:pStyle w:val="2"/>
        <w:rPr>
          <w:rFonts w:hint="eastAsia"/>
        </w:rPr>
      </w:pPr>
      <w:r>
        <w:rPr>
          <w:rFonts w:hint="eastAsia"/>
        </w:rPr>
        <w:t>DOI: 10.1093/ofid/ofag614</w:t>
      </w:r>
    </w:p>
    <w:p w14:paraId="7DFDB44B">
      <w:pPr>
        <w:pStyle w:val="2"/>
        <w:rPr>
          <w:rFonts w:hint="eastAsia"/>
        </w:rPr>
      </w:pPr>
      <w:r>
        <w:rPr>
          <w:rFonts w:hint="eastAsia"/>
        </w:rPr>
        <w:t>PMCID: PMC13650477</w:t>
      </w:r>
    </w:p>
    <w:p w14:paraId="71925F16">
      <w:pPr>
        <w:pStyle w:val="2"/>
        <w:rPr>
          <w:rFonts w:hint="eastAsia"/>
        </w:rPr>
      </w:pPr>
      <w:r>
        <w:rPr>
          <w:rFonts w:hint="eastAsia"/>
        </w:rPr>
        <w:t>PMID: 42856964</w:t>
      </w:r>
    </w:p>
    <w:p w14:paraId="5933D1D4">
      <w:pPr>
        <w:pStyle w:val="2"/>
        <w:rPr>
          <w:rFonts w:hint="eastAsia"/>
        </w:rPr>
      </w:pPr>
    </w:p>
    <w:p w14:paraId="230E521E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66</w:t>
      </w:r>
      <w:r>
        <w:rPr>
          <w:rFonts w:hint="eastAsia"/>
          <w:b/>
          <w:bCs/>
          <w:color w:val="FF0000"/>
        </w:rPr>
        <w:t xml:space="preserve">. Res Sq [Preprint]. 2026 Sep 30:rs.3.rs-11050242. doi: </w:t>
      </w:r>
    </w:p>
    <w:p w14:paraId="1B8E6D34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10.21203/rs.3.rs-11050242/v1.</w:t>
      </w:r>
    </w:p>
    <w:p w14:paraId="73583B94">
      <w:pPr>
        <w:pStyle w:val="2"/>
        <w:rPr>
          <w:rFonts w:hint="eastAsia"/>
          <w:b/>
          <w:bCs/>
          <w:color w:val="FF0000"/>
        </w:rPr>
      </w:pPr>
    </w:p>
    <w:p w14:paraId="3B2B8807">
      <w:pPr>
        <w:pStyle w:val="2"/>
        <w:rPr>
          <w:rFonts w:hint="eastAsia"/>
        </w:rPr>
      </w:pPr>
      <w:r>
        <w:rPr>
          <w:rFonts w:hint="eastAsia"/>
        </w:rPr>
        <w:t xml:space="preserve">Microbiota as a biomarker of tuberculosis treatment response: association with </w:t>
      </w:r>
    </w:p>
    <w:p w14:paraId="244AFA44">
      <w:pPr>
        <w:pStyle w:val="2"/>
        <w:rPr>
          <w:rFonts w:hint="eastAsia"/>
        </w:rPr>
      </w:pPr>
      <w:r>
        <w:rPr>
          <w:rFonts w:hint="eastAsia"/>
        </w:rPr>
        <w:t>clinical history, inflammation and outcome.</w:t>
      </w:r>
    </w:p>
    <w:p w14:paraId="70875675">
      <w:pPr>
        <w:pStyle w:val="2"/>
        <w:rPr>
          <w:rFonts w:hint="eastAsia"/>
        </w:rPr>
      </w:pPr>
    </w:p>
    <w:p w14:paraId="2634B45F">
      <w:pPr>
        <w:pStyle w:val="2"/>
        <w:rPr>
          <w:rFonts w:hint="eastAsia"/>
        </w:rPr>
      </w:pPr>
      <w:r>
        <w:rPr>
          <w:rFonts w:hint="eastAsia"/>
        </w:rPr>
        <w:t xml:space="preserve">Theron G, Marsh C, Shipingana L, Cantor A, Moodley S, Tshivhula H, Webber T, </w:t>
      </w:r>
    </w:p>
    <w:p w14:paraId="4E0EDA5D">
      <w:pPr>
        <w:pStyle w:val="2"/>
        <w:rPr>
          <w:rFonts w:hint="eastAsia"/>
        </w:rPr>
      </w:pPr>
      <w:r>
        <w:rPr>
          <w:rFonts w:hint="eastAsia"/>
        </w:rPr>
        <w:t xml:space="preserve">Palmer Z, Chiyaka T, Monaco H, Wu B, Li Y, Collazo D, Singh S, Warren R, </w:t>
      </w:r>
    </w:p>
    <w:p w14:paraId="3152314C">
      <w:pPr>
        <w:pStyle w:val="2"/>
        <w:rPr>
          <w:rFonts w:hint="eastAsia"/>
        </w:rPr>
      </w:pPr>
      <w:r>
        <w:rPr>
          <w:rFonts w:hint="eastAsia"/>
        </w:rPr>
        <w:t>Kleynhans L, Clemente J, Segal L.</w:t>
      </w:r>
    </w:p>
    <w:p w14:paraId="4AD618A5">
      <w:pPr>
        <w:pStyle w:val="2"/>
        <w:rPr>
          <w:rFonts w:hint="eastAsia"/>
        </w:rPr>
      </w:pPr>
    </w:p>
    <w:p w14:paraId="209FA7F1">
      <w:pPr>
        <w:pStyle w:val="2"/>
        <w:rPr>
          <w:rFonts w:hint="eastAsia"/>
        </w:rPr>
      </w:pPr>
      <w:r>
        <w:rPr>
          <w:rFonts w:hint="eastAsia"/>
        </w:rPr>
        <w:t xml:space="preserve">Tuberculosis requires prolonged multidrug therapy. Whether this disrupts the </w:t>
      </w:r>
    </w:p>
    <w:p w14:paraId="0A41A166">
      <w:pPr>
        <w:pStyle w:val="2"/>
        <w:rPr>
          <w:rFonts w:hint="eastAsia"/>
        </w:rPr>
      </w:pPr>
      <w:r>
        <w:rPr>
          <w:rFonts w:hint="eastAsia"/>
        </w:rPr>
        <w:t xml:space="preserve">microbiota in ways reflecting previous treatment exposure and outcome is </w:t>
      </w:r>
    </w:p>
    <w:p w14:paraId="684F3F7B">
      <w:pPr>
        <w:pStyle w:val="2"/>
        <w:rPr>
          <w:rFonts w:hint="eastAsia"/>
        </w:rPr>
      </w:pPr>
      <w:r>
        <w:rPr>
          <w:rFonts w:hint="eastAsia"/>
        </w:rPr>
        <w:t xml:space="preserve">unknown. We performed 16S rRNA gene sequencing on sputum and stool from 107 </w:t>
      </w:r>
    </w:p>
    <w:p w14:paraId="5B18AC12">
      <w:pPr>
        <w:pStyle w:val="2"/>
        <w:rPr>
          <w:rFonts w:hint="eastAsia"/>
        </w:rPr>
      </w:pPr>
      <w:r>
        <w:rPr>
          <w:rFonts w:hint="eastAsia"/>
        </w:rPr>
        <w:t xml:space="preserve">people with tuberculosis (cases) in a longitudinal cohort, sampled at baseline, </w:t>
      </w:r>
    </w:p>
    <w:p w14:paraId="67E68776">
      <w:pPr>
        <w:pStyle w:val="2"/>
        <w:rPr>
          <w:rFonts w:hint="eastAsia"/>
        </w:rPr>
      </w:pPr>
      <w:r>
        <w:rPr>
          <w:rFonts w:hint="eastAsia"/>
        </w:rPr>
        <w:t xml:space="preserve">month 2, end-of-treatment (month 6), and months 12 and 18, and ≤2 close contacts </w:t>
      </w:r>
    </w:p>
    <w:p w14:paraId="7C3AE94B">
      <w:pPr>
        <w:pStyle w:val="2"/>
        <w:rPr>
          <w:rFonts w:hint="eastAsia"/>
        </w:rPr>
      </w:pPr>
      <w:r>
        <w:rPr>
          <w:rFonts w:hint="eastAsia"/>
        </w:rPr>
        <w:t xml:space="preserve">per case (n=180) at baseline, months 6 and 18. Serum cytokines were quantified </w:t>
      </w:r>
    </w:p>
    <w:p w14:paraId="78DA1A52">
      <w:pPr>
        <w:pStyle w:val="2"/>
        <w:rPr>
          <w:rFonts w:hint="eastAsia"/>
        </w:rPr>
      </w:pPr>
      <w:r>
        <w:rPr>
          <w:rFonts w:hint="eastAsia"/>
        </w:rPr>
        <w:t xml:space="preserve">in cases (baseline, months 6 and 18) and contacts (baseline). Treatment outcome </w:t>
      </w:r>
    </w:p>
    <w:p w14:paraId="7B302EE9">
      <w:pPr>
        <w:pStyle w:val="2"/>
        <w:rPr>
          <w:rFonts w:hint="eastAsia"/>
        </w:rPr>
      </w:pPr>
      <w:r>
        <w:rPr>
          <w:rFonts w:hint="eastAsia"/>
        </w:rPr>
        <w:t xml:space="preserve">was defined by month 2 culture-conversion and month 6 culture/smear status. </w:t>
      </w:r>
    </w:p>
    <w:p w14:paraId="681AB97C">
      <w:pPr>
        <w:pStyle w:val="2"/>
        <w:rPr>
          <w:rFonts w:hint="eastAsia"/>
        </w:rPr>
      </w:pPr>
      <w:r>
        <w:rPr>
          <w:rFonts w:hint="eastAsia"/>
        </w:rPr>
        <w:t xml:space="preserve">Longitudinal microbial time-series were clustered using LoClust and linked to </w:t>
      </w:r>
    </w:p>
    <w:p w14:paraId="0C9F8CCC">
      <w:pPr>
        <w:pStyle w:val="2"/>
        <w:rPr>
          <w:rFonts w:hint="eastAsia"/>
        </w:rPr>
      </w:pPr>
      <w:r>
        <w:rPr>
          <w:rFonts w:hint="eastAsia"/>
        </w:rPr>
        <w:t xml:space="preserve">clinical data. Cases' α-diversity declined initially, recovering by month 6 in </w:t>
      </w:r>
    </w:p>
    <w:p w14:paraId="62DE6978">
      <w:pPr>
        <w:pStyle w:val="2"/>
        <w:rPr>
          <w:rFonts w:hint="eastAsia"/>
        </w:rPr>
      </w:pPr>
      <w:r>
        <w:rPr>
          <w:rFonts w:hint="eastAsia"/>
        </w:rPr>
        <w:t xml:space="preserve">sputum and month 12 in stool. Stool β-diversity reductions, driven by </w:t>
      </w:r>
    </w:p>
    <w:p w14:paraId="71EF09D6">
      <w:pPr>
        <w:pStyle w:val="2"/>
        <w:rPr>
          <w:rFonts w:hint="eastAsia"/>
        </w:rPr>
      </w:pPr>
      <w:r>
        <w:rPr>
          <w:rFonts w:hint="eastAsia"/>
        </w:rPr>
        <w:t xml:space="preserve">Dialister-enrichment and Clostridiales-depletion, persisted to month 18; close </w:t>
      </w:r>
    </w:p>
    <w:p w14:paraId="17A8CD11">
      <w:pPr>
        <w:pStyle w:val="2"/>
        <w:rPr>
          <w:rFonts w:hint="eastAsia"/>
        </w:rPr>
      </w:pPr>
      <w:r>
        <w:rPr>
          <w:rFonts w:hint="eastAsia"/>
        </w:rPr>
        <w:t xml:space="preserve">contacts remained stable throughout. Unfavourable outcomes showed sputum </w:t>
      </w:r>
    </w:p>
    <w:p w14:paraId="3F86D233">
      <w:pPr>
        <w:pStyle w:val="2"/>
        <w:rPr>
          <w:rFonts w:hint="eastAsia"/>
        </w:rPr>
      </w:pPr>
      <w:r>
        <w:rPr>
          <w:rFonts w:hint="eastAsia"/>
        </w:rPr>
        <w:t xml:space="preserve">Pseudomonas- and Mycobacterium gordonae-enrichment and Porphyromonas </w:t>
      </w:r>
    </w:p>
    <w:p w14:paraId="02F5ED68">
      <w:pPr>
        <w:pStyle w:val="2"/>
        <w:rPr>
          <w:rFonts w:hint="eastAsia"/>
        </w:rPr>
      </w:pPr>
      <w:r>
        <w:rPr>
          <w:rFonts w:hint="eastAsia"/>
        </w:rPr>
        <w:t xml:space="preserve">endodontalis-depletion, and stool Clostridiales-enrichment and </w:t>
      </w:r>
    </w:p>
    <w:p w14:paraId="41F2A439">
      <w:pPr>
        <w:pStyle w:val="2"/>
        <w:rPr>
          <w:rFonts w:hint="eastAsia"/>
        </w:rPr>
      </w:pPr>
      <w:r>
        <w:rPr>
          <w:rFonts w:hint="eastAsia"/>
        </w:rPr>
        <w:t xml:space="preserve">Dialister-depletion. Clustering identified five α-diversity trajectories, with </w:t>
      </w:r>
    </w:p>
    <w:p w14:paraId="747D826A">
      <w:pPr>
        <w:pStyle w:val="2"/>
        <w:rPr>
          <w:rFonts w:hint="eastAsia"/>
        </w:rPr>
      </w:pPr>
      <w:r>
        <w:rPr>
          <w:rFonts w:hint="eastAsia"/>
        </w:rPr>
        <w:t xml:space="preserve">declining-diversity trajectories enriched for previous TB. </w:t>
      </w:r>
    </w:p>
    <w:p w14:paraId="70CE0E1F">
      <w:pPr>
        <w:pStyle w:val="2"/>
        <w:rPr>
          <w:rFonts w:hint="eastAsia"/>
        </w:rPr>
      </w:pPr>
      <w:r>
        <w:rPr>
          <w:rFonts w:hint="eastAsia"/>
        </w:rPr>
        <w:t xml:space="preserve">Microbiota-inflammation associations persisted beyond treatment, with </w:t>
      </w:r>
    </w:p>
    <w:p w14:paraId="47ED20B7">
      <w:pPr>
        <w:pStyle w:val="2"/>
        <w:rPr>
          <w:rFonts w:hint="eastAsia"/>
        </w:rPr>
      </w:pPr>
      <w:r>
        <w:rPr>
          <w:rFonts w:hint="eastAsia"/>
        </w:rPr>
        <w:t xml:space="preserve">Clostridiales independently predicting IP-10 and TNF-α, and Dialister predicting </w:t>
      </w:r>
    </w:p>
    <w:p w14:paraId="5DAF9D3B">
      <w:pPr>
        <w:pStyle w:val="2"/>
        <w:rPr>
          <w:rFonts w:hint="eastAsia"/>
        </w:rPr>
      </w:pPr>
      <w:r>
        <w:rPr>
          <w:rFonts w:hint="eastAsia"/>
        </w:rPr>
        <w:t xml:space="preserve">C-reactive protein. Microbiota recovery trajectories are linked to previous </w:t>
      </w:r>
    </w:p>
    <w:p w14:paraId="421411D3">
      <w:pPr>
        <w:pStyle w:val="2"/>
        <w:rPr>
          <w:rFonts w:hint="eastAsia"/>
        </w:rPr>
      </w:pPr>
      <w:r>
        <w:rPr>
          <w:rFonts w:hint="eastAsia"/>
        </w:rPr>
        <w:t xml:space="preserve">tuberculosis, and specific taxa to outcome and inflammation, highlighting </w:t>
      </w:r>
    </w:p>
    <w:p w14:paraId="2E27438D">
      <w:pPr>
        <w:pStyle w:val="2"/>
        <w:rPr>
          <w:rFonts w:hint="eastAsia"/>
        </w:rPr>
      </w:pPr>
      <w:r>
        <w:rPr>
          <w:rFonts w:hint="eastAsia"/>
        </w:rPr>
        <w:t>biomarker potential.</w:t>
      </w:r>
    </w:p>
    <w:p w14:paraId="7F053BC5">
      <w:pPr>
        <w:pStyle w:val="2"/>
        <w:rPr>
          <w:rFonts w:hint="eastAsia"/>
        </w:rPr>
      </w:pPr>
    </w:p>
    <w:p w14:paraId="4F163EFF">
      <w:pPr>
        <w:pStyle w:val="2"/>
        <w:rPr>
          <w:rFonts w:hint="eastAsia"/>
        </w:rPr>
      </w:pPr>
      <w:r>
        <w:rPr>
          <w:rFonts w:hint="eastAsia"/>
        </w:rPr>
        <w:t>DOI: 10.21203/rs.3.rs-11050242/v1</w:t>
      </w:r>
    </w:p>
    <w:p w14:paraId="791E7CC8">
      <w:pPr>
        <w:pStyle w:val="2"/>
        <w:rPr>
          <w:rFonts w:hint="eastAsia"/>
        </w:rPr>
      </w:pPr>
      <w:r>
        <w:rPr>
          <w:rFonts w:hint="eastAsia"/>
        </w:rPr>
        <w:t>PMCID: PMC13648855</w:t>
      </w:r>
    </w:p>
    <w:p w14:paraId="1943D2B3">
      <w:pPr>
        <w:pStyle w:val="2"/>
        <w:rPr>
          <w:rFonts w:hint="eastAsia"/>
        </w:rPr>
      </w:pPr>
      <w:r>
        <w:rPr>
          <w:rFonts w:hint="eastAsia"/>
        </w:rPr>
        <w:t>PMID: 42856749</w:t>
      </w:r>
    </w:p>
    <w:p w14:paraId="38AD4FAC">
      <w:pPr>
        <w:pStyle w:val="2"/>
        <w:rPr>
          <w:rFonts w:hint="eastAsia"/>
        </w:rPr>
      </w:pPr>
    </w:p>
    <w:p w14:paraId="34DCFFB8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67</w:t>
      </w:r>
      <w:r>
        <w:rPr>
          <w:rFonts w:hint="eastAsia"/>
          <w:b/>
          <w:bCs/>
          <w:color w:val="FF0000"/>
        </w:rPr>
        <w:t xml:space="preserve">. Front Public Health. 2026 Sep 24;14:1941743. doi: 10.3389/fpubh.2026.1941743. </w:t>
      </w:r>
    </w:p>
    <w:p w14:paraId="3AA45B33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2026.</w:t>
      </w:r>
    </w:p>
    <w:p w14:paraId="5EE1B5E0">
      <w:pPr>
        <w:pStyle w:val="2"/>
        <w:rPr>
          <w:rFonts w:hint="eastAsia"/>
        </w:rPr>
      </w:pPr>
    </w:p>
    <w:p w14:paraId="3F8F95CD">
      <w:pPr>
        <w:pStyle w:val="2"/>
        <w:rPr>
          <w:rFonts w:hint="eastAsia"/>
        </w:rPr>
      </w:pPr>
      <w:r>
        <w:rPr>
          <w:rFonts w:hint="eastAsia"/>
        </w:rPr>
        <w:t xml:space="preserve">Analysis of tuberculosis prevalence surveys in Africa: evidence to change the </w:t>
      </w:r>
    </w:p>
    <w:p w14:paraId="6E0B9F93">
      <w:pPr>
        <w:pStyle w:val="2"/>
        <w:rPr>
          <w:rFonts w:hint="eastAsia"/>
        </w:rPr>
      </w:pPr>
      <w:r>
        <w:rPr>
          <w:rFonts w:hint="eastAsia"/>
        </w:rPr>
        <w:t>status quo in case finding.</w:t>
      </w:r>
    </w:p>
    <w:p w14:paraId="6832D487">
      <w:pPr>
        <w:pStyle w:val="2"/>
        <w:rPr>
          <w:rFonts w:hint="eastAsia"/>
        </w:rPr>
      </w:pPr>
    </w:p>
    <w:p w14:paraId="091DE0CE">
      <w:pPr>
        <w:pStyle w:val="2"/>
        <w:rPr>
          <w:rFonts w:hint="eastAsia"/>
        </w:rPr>
      </w:pPr>
      <w:r>
        <w:rPr>
          <w:rFonts w:hint="eastAsia"/>
        </w:rPr>
        <w:t xml:space="preserve">Mukherjee JS(1), Ndayizigye M(2), Lee C(3), Gilmore M(4), Benali S(5), Maama </w:t>
      </w:r>
    </w:p>
    <w:p w14:paraId="7668EC70">
      <w:pPr>
        <w:pStyle w:val="2"/>
        <w:rPr>
          <w:rFonts w:hint="eastAsia"/>
        </w:rPr>
      </w:pPr>
      <w:r>
        <w:rPr>
          <w:rFonts w:hint="eastAsia"/>
        </w:rPr>
        <w:t>L(6), Andom AT(7).</w:t>
      </w:r>
    </w:p>
    <w:p w14:paraId="0FB32ECF">
      <w:pPr>
        <w:pStyle w:val="2"/>
        <w:rPr>
          <w:rFonts w:hint="eastAsia"/>
        </w:rPr>
      </w:pPr>
    </w:p>
    <w:p w14:paraId="7578B085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49E51A06">
      <w:pPr>
        <w:pStyle w:val="2"/>
        <w:rPr>
          <w:rFonts w:hint="eastAsia"/>
        </w:rPr>
      </w:pPr>
      <w:r>
        <w:rPr>
          <w:rFonts w:hint="eastAsia"/>
        </w:rPr>
        <w:t xml:space="preserve">(1)Department of Medicine, Massachusetts General Brigham, Boston, MA, United </w:t>
      </w:r>
    </w:p>
    <w:p w14:paraId="75AFEDD6">
      <w:pPr>
        <w:pStyle w:val="2"/>
        <w:rPr>
          <w:rFonts w:hint="eastAsia"/>
        </w:rPr>
      </w:pPr>
      <w:r>
        <w:rPr>
          <w:rFonts w:hint="eastAsia"/>
        </w:rPr>
        <w:t>States.</w:t>
      </w:r>
    </w:p>
    <w:p w14:paraId="46A05EFE">
      <w:pPr>
        <w:pStyle w:val="2"/>
        <w:rPr>
          <w:rFonts w:hint="eastAsia"/>
        </w:rPr>
      </w:pPr>
      <w:r>
        <w:rPr>
          <w:rFonts w:hint="eastAsia"/>
        </w:rPr>
        <w:t>(2)Partners In Health, Boston, MA, United States.</w:t>
      </w:r>
    </w:p>
    <w:p w14:paraId="7F6BBA2B">
      <w:pPr>
        <w:pStyle w:val="2"/>
        <w:rPr>
          <w:rFonts w:hint="eastAsia"/>
        </w:rPr>
      </w:pPr>
      <w:r>
        <w:rPr>
          <w:rFonts w:hint="eastAsia"/>
        </w:rPr>
        <w:t xml:space="preserve">(3)Chelsea and Westminster Hospital NHS Foundation Trust, London, United </w:t>
      </w:r>
    </w:p>
    <w:p w14:paraId="66B98741">
      <w:pPr>
        <w:pStyle w:val="2"/>
        <w:rPr>
          <w:rFonts w:hint="eastAsia"/>
        </w:rPr>
      </w:pPr>
      <w:r>
        <w:rPr>
          <w:rFonts w:hint="eastAsia"/>
        </w:rPr>
        <w:t>Kingdom.</w:t>
      </w:r>
    </w:p>
    <w:p w14:paraId="59099F3D">
      <w:pPr>
        <w:pStyle w:val="2"/>
        <w:rPr>
          <w:rFonts w:hint="eastAsia"/>
        </w:rPr>
      </w:pPr>
      <w:r>
        <w:rPr>
          <w:rFonts w:hint="eastAsia"/>
        </w:rPr>
        <w:t>(4)Northeastern Bouve College of Health Sciences, Boston, MA, United States.</w:t>
      </w:r>
    </w:p>
    <w:p w14:paraId="7F79C6E1">
      <w:pPr>
        <w:pStyle w:val="2"/>
        <w:rPr>
          <w:rFonts w:hint="eastAsia"/>
        </w:rPr>
      </w:pPr>
      <w:r>
        <w:rPr>
          <w:rFonts w:hint="eastAsia"/>
        </w:rPr>
        <w:t>(5)Ariadne Laboratory, Boston, MA, United States.</w:t>
      </w:r>
    </w:p>
    <w:p w14:paraId="40DDA063">
      <w:pPr>
        <w:pStyle w:val="2"/>
        <w:rPr>
          <w:rFonts w:hint="eastAsia"/>
        </w:rPr>
      </w:pPr>
      <w:r>
        <w:rPr>
          <w:rFonts w:hint="eastAsia"/>
        </w:rPr>
        <w:t>(6)Government of Lesotho, Maseru, Lesotho.</w:t>
      </w:r>
    </w:p>
    <w:p w14:paraId="6ADCFF5F">
      <w:pPr>
        <w:pStyle w:val="2"/>
        <w:rPr>
          <w:rFonts w:hint="eastAsia"/>
        </w:rPr>
      </w:pPr>
      <w:r>
        <w:rPr>
          <w:rFonts w:hint="eastAsia"/>
        </w:rPr>
        <w:t>(7)Partners In Health, Maseru, Lesotho.</w:t>
      </w:r>
    </w:p>
    <w:p w14:paraId="52837290">
      <w:pPr>
        <w:pStyle w:val="2"/>
        <w:rPr>
          <w:rFonts w:hint="eastAsia"/>
        </w:rPr>
      </w:pPr>
    </w:p>
    <w:p w14:paraId="63F03EFF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INTRODUCTION: </w:t>
      </w:r>
      <w:r>
        <w:rPr>
          <w:rFonts w:hint="eastAsia"/>
        </w:rPr>
        <w:t xml:space="preserve">Lesotho has among the world's highest TB prevalences and the </w:t>
      </w:r>
    </w:p>
    <w:p w14:paraId="2DFC92FE">
      <w:pPr>
        <w:pStyle w:val="2"/>
        <w:rPr>
          <w:rFonts w:hint="eastAsia"/>
        </w:rPr>
      </w:pPr>
      <w:r>
        <w:rPr>
          <w:rFonts w:hint="eastAsia"/>
        </w:rPr>
        <w:t xml:space="preserve">national program finding only 50% of incident cases. Lesotho underwent its first </w:t>
      </w:r>
    </w:p>
    <w:p w14:paraId="1830CB5C">
      <w:pPr>
        <w:pStyle w:val="2"/>
        <w:rPr>
          <w:rFonts w:hint="eastAsia"/>
        </w:rPr>
      </w:pPr>
      <w:r>
        <w:rPr>
          <w:rFonts w:hint="eastAsia"/>
        </w:rPr>
        <w:t xml:space="preserve">TB prevalence study in 2019 in reviewing this study, the authors recognized that </w:t>
      </w:r>
    </w:p>
    <w:p w14:paraId="70FFCCBB">
      <w:pPr>
        <w:pStyle w:val="2"/>
        <w:rPr>
          <w:rFonts w:hint="eastAsia"/>
        </w:rPr>
      </w:pPr>
      <w:r>
        <w:rPr>
          <w:rFonts w:hint="eastAsia"/>
        </w:rPr>
        <w:t xml:space="preserve">the standard measures for screening and diagnosis TB often failed to detect the </w:t>
      </w:r>
    </w:p>
    <w:p w14:paraId="3FA6EB5F">
      <w:pPr>
        <w:pStyle w:val="2"/>
        <w:rPr>
          <w:rFonts w:hint="eastAsia"/>
        </w:rPr>
      </w:pPr>
      <w:r>
        <w:rPr>
          <w:rFonts w:hint="eastAsia"/>
        </w:rPr>
        <w:t xml:space="preserve">presence of culture positive pulmonary TB. This review seeks to determine if the </w:t>
      </w:r>
    </w:p>
    <w:p w14:paraId="5AD9BBB7">
      <w:pPr>
        <w:pStyle w:val="2"/>
        <w:rPr>
          <w:rFonts w:hint="eastAsia"/>
        </w:rPr>
      </w:pPr>
      <w:r>
        <w:rPr>
          <w:rFonts w:hint="eastAsia"/>
        </w:rPr>
        <w:t xml:space="preserve">systematic under detection of culture positive TB by standard methods is true </w:t>
      </w:r>
    </w:p>
    <w:p w14:paraId="2E69069E">
      <w:pPr>
        <w:pStyle w:val="2"/>
        <w:rPr>
          <w:rFonts w:hint="eastAsia"/>
        </w:rPr>
      </w:pPr>
      <w:r>
        <w:rPr>
          <w:rFonts w:hint="eastAsia"/>
        </w:rPr>
        <w:t>among prevalence surveys in Africa.</w:t>
      </w:r>
    </w:p>
    <w:p w14:paraId="2683776B">
      <w:pPr>
        <w:pStyle w:val="2"/>
        <w:rPr>
          <w:rFonts w:hint="eastAsia"/>
        </w:rPr>
      </w:pPr>
      <w:r>
        <w:rPr>
          <w:rFonts w:hint="eastAsia"/>
          <w:b/>
          <w:bCs/>
        </w:rPr>
        <w:t>METHODS: W</w:t>
      </w:r>
      <w:r>
        <w:rPr>
          <w:rFonts w:hint="eastAsia"/>
        </w:rPr>
        <w:t xml:space="preserve">e conducted a review to identify TB prevalence surveys conducted in </w:t>
      </w:r>
    </w:p>
    <w:p w14:paraId="1CB0F9FD">
      <w:pPr>
        <w:pStyle w:val="2"/>
        <w:rPr>
          <w:rFonts w:hint="eastAsia"/>
        </w:rPr>
      </w:pPr>
      <w:r>
        <w:rPr>
          <w:rFonts w:hint="eastAsia"/>
        </w:rPr>
        <w:t xml:space="preserve">Africa from 2011 to 2024. Seventeen surveys meeting inclusion criteria were </w:t>
      </w:r>
    </w:p>
    <w:p w14:paraId="5AFFE9E5">
      <w:pPr>
        <w:pStyle w:val="2"/>
        <w:rPr>
          <w:rFonts w:hint="eastAsia"/>
        </w:rPr>
      </w:pPr>
      <w:r>
        <w:rPr>
          <w:rFonts w:hint="eastAsia"/>
        </w:rPr>
        <w:t xml:space="preserve">identified. For each survey, we extracted the proportion of culture-confirmed TB </w:t>
      </w:r>
    </w:p>
    <w:p w14:paraId="3EDF0BD2">
      <w:pPr>
        <w:pStyle w:val="2"/>
        <w:rPr>
          <w:rFonts w:hint="eastAsia"/>
        </w:rPr>
      </w:pPr>
      <w:r>
        <w:rPr>
          <w:rFonts w:hint="eastAsia"/>
        </w:rPr>
        <w:t xml:space="preserve">cases that were also identified by symptom screening, chest X-ray (CXR), sputum </w:t>
      </w:r>
    </w:p>
    <w:p w14:paraId="737DE0B8">
      <w:pPr>
        <w:pStyle w:val="2"/>
        <w:rPr>
          <w:rFonts w:hint="eastAsia"/>
        </w:rPr>
      </w:pPr>
      <w:r>
        <w:rPr>
          <w:rFonts w:hint="eastAsia"/>
        </w:rPr>
        <w:t xml:space="preserve">smear microscopy, and GeneXpert MTB/RIF. We additionally tabulated national HIV </w:t>
      </w:r>
    </w:p>
    <w:p w14:paraId="6490AF31">
      <w:pPr>
        <w:pStyle w:val="2"/>
        <w:rPr>
          <w:rFonts w:hint="eastAsia"/>
        </w:rPr>
      </w:pPr>
      <w:r>
        <w:rPr>
          <w:rFonts w:hint="eastAsia"/>
        </w:rPr>
        <w:t xml:space="preserve">prevalence, HIV co-infection rates reported by national TB programs, and HIV </w:t>
      </w:r>
    </w:p>
    <w:p w14:paraId="49A24683">
      <w:pPr>
        <w:pStyle w:val="2"/>
        <w:rPr>
          <w:rFonts w:hint="eastAsia"/>
        </w:rPr>
      </w:pPr>
      <w:r>
        <w:rPr>
          <w:rFonts w:hint="eastAsia"/>
        </w:rPr>
        <w:t>co-infection rates documented in the prevalence surveys themselves.</w:t>
      </w:r>
    </w:p>
    <w:p w14:paraId="15B2835B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TB prevalence across the 17 surveyed countries ranged from 119 per </w:t>
      </w:r>
    </w:p>
    <w:p w14:paraId="544E092B">
      <w:pPr>
        <w:pStyle w:val="2"/>
        <w:rPr>
          <w:rFonts w:hint="eastAsia"/>
        </w:rPr>
      </w:pPr>
      <w:r>
        <w:rPr>
          <w:rFonts w:hint="eastAsia"/>
        </w:rPr>
        <w:t xml:space="preserve">100,000 population in Rwanda to 737 per 100,000 in South Africa, with Lesotho </w:t>
      </w:r>
    </w:p>
    <w:p w14:paraId="2ECF5D85">
      <w:pPr>
        <w:pStyle w:val="2"/>
        <w:rPr>
          <w:rFonts w:hint="eastAsia"/>
        </w:rPr>
      </w:pPr>
      <w:r>
        <w:rPr>
          <w:rFonts w:hint="eastAsia"/>
        </w:rPr>
        <w:t xml:space="preserve">(581), Tanzania (590), Zambia (638), Kenya (558), Nigeria (524), Uganda (401), </w:t>
      </w:r>
    </w:p>
    <w:p w14:paraId="2A90C873">
      <w:pPr>
        <w:pStyle w:val="2"/>
        <w:rPr>
          <w:rFonts w:hint="eastAsia"/>
        </w:rPr>
      </w:pPr>
      <w:r>
        <w:rPr>
          <w:rFonts w:hint="eastAsia"/>
        </w:rPr>
        <w:t xml:space="preserve">Namibia (465), Malawi (452), Ghana (356), Eswatini (352), Mozambique (334), </w:t>
      </w:r>
    </w:p>
    <w:p w14:paraId="74324728">
      <w:pPr>
        <w:pStyle w:val="2"/>
        <w:rPr>
          <w:rFonts w:hint="eastAsia"/>
        </w:rPr>
      </w:pPr>
      <w:r>
        <w:rPr>
          <w:rFonts w:hint="eastAsia"/>
        </w:rPr>
        <w:t xml:space="preserve">Zimbabwe (344), Gambia (212), Sudan (183), and Ethiopia (183) recording </w:t>
      </w:r>
    </w:p>
    <w:p w14:paraId="5051A37C">
      <w:pPr>
        <w:pStyle w:val="2"/>
        <w:rPr>
          <w:rFonts w:hint="eastAsia"/>
        </w:rPr>
      </w:pPr>
      <w:r>
        <w:rPr>
          <w:rFonts w:hint="eastAsia"/>
        </w:rPr>
        <w:t xml:space="preserve">intermediate burdens. Symptom screening missed an average of 50% of </w:t>
      </w:r>
    </w:p>
    <w:p w14:paraId="10839276">
      <w:pPr>
        <w:pStyle w:val="2"/>
        <w:rPr>
          <w:rFonts w:hint="eastAsia"/>
        </w:rPr>
      </w:pPr>
      <w:r>
        <w:rPr>
          <w:rFonts w:hint="eastAsia"/>
        </w:rPr>
        <w:t xml:space="preserve">culture-confirmed pulmonary TB cases across all surveys. Smear microscopy missed </w:t>
      </w:r>
    </w:p>
    <w:p w14:paraId="6C7179F0">
      <w:pPr>
        <w:pStyle w:val="2"/>
        <w:rPr>
          <w:rFonts w:hint="eastAsia"/>
        </w:rPr>
      </w:pPr>
      <w:r>
        <w:rPr>
          <w:rFonts w:hint="eastAsia"/>
        </w:rPr>
        <w:t xml:space="preserve">approximately 60% of bacteriologically confirmed cases. GeneXpert, while more </w:t>
      </w:r>
    </w:p>
    <w:p w14:paraId="0CFC285B">
      <w:pPr>
        <w:pStyle w:val="2"/>
        <w:rPr>
          <w:rFonts w:hint="eastAsia"/>
        </w:rPr>
      </w:pPr>
      <w:r>
        <w:rPr>
          <w:rFonts w:hint="eastAsia"/>
        </w:rPr>
        <w:t xml:space="preserve">sensitive, still missed an average of 30-35% of culture-confirmed cases even </w:t>
      </w:r>
    </w:p>
    <w:p w14:paraId="5C99AE78">
      <w:pPr>
        <w:pStyle w:val="2"/>
        <w:rPr>
          <w:rFonts w:hint="eastAsia"/>
        </w:rPr>
      </w:pPr>
      <w:r>
        <w:rPr>
          <w:rFonts w:hint="eastAsia"/>
        </w:rPr>
        <w:t xml:space="preserve">under rigorous study conditions. In contrast, CXR demonstrated concordance </w:t>
      </w:r>
    </w:p>
    <w:p w14:paraId="62B88F32">
      <w:pPr>
        <w:pStyle w:val="2"/>
        <w:rPr>
          <w:rFonts w:hint="eastAsia"/>
        </w:rPr>
      </w:pPr>
      <w:r>
        <w:rPr>
          <w:rFonts w:hint="eastAsia"/>
        </w:rPr>
        <w:t xml:space="preserve">exceeding 80% with culture-confirmed TB across almost all surveyed countries. </w:t>
      </w:r>
    </w:p>
    <w:p w14:paraId="3F583EED">
      <w:pPr>
        <w:pStyle w:val="2"/>
        <w:rPr>
          <w:rFonts w:hint="eastAsia"/>
        </w:rPr>
      </w:pPr>
      <w:r>
        <w:rPr>
          <w:rFonts w:hint="eastAsia"/>
        </w:rPr>
        <w:t xml:space="preserve">HIV co-infection among TB patients in prevalence surveys was consistently lower </w:t>
      </w:r>
    </w:p>
    <w:p w14:paraId="3DE70072">
      <w:pPr>
        <w:pStyle w:val="2"/>
        <w:rPr>
          <w:rFonts w:hint="eastAsia"/>
        </w:rPr>
      </w:pPr>
      <w:r>
        <w:rPr>
          <w:rFonts w:hint="eastAsia"/>
        </w:rPr>
        <w:t xml:space="preserve">than rates reported in national TB programs, suggesting systematic </w:t>
      </w:r>
    </w:p>
    <w:p w14:paraId="055A70A9">
      <w:pPr>
        <w:pStyle w:val="2"/>
        <w:rPr>
          <w:rFonts w:hint="eastAsia"/>
        </w:rPr>
      </w:pPr>
      <w:r>
        <w:rPr>
          <w:rFonts w:hint="eastAsia"/>
        </w:rPr>
        <w:t>underrepresentation of HIV-positive individuals in survey populations.</w:t>
      </w:r>
    </w:p>
    <w:p w14:paraId="6ABD54A0">
      <w:pPr>
        <w:pStyle w:val="2"/>
        <w:rPr>
          <w:rFonts w:hint="eastAsia"/>
        </w:rPr>
      </w:pPr>
      <w:r>
        <w:rPr>
          <w:rFonts w:hint="eastAsia"/>
          <w:b/>
          <w:bCs/>
        </w:rPr>
        <w:t>CONCLUSION: S</w:t>
      </w:r>
      <w:r>
        <w:rPr>
          <w:rFonts w:hint="eastAsia"/>
        </w:rPr>
        <w:t xml:space="preserve">ymptoms-based screening and GeneXpert alone are insufficient to </w:t>
      </w:r>
    </w:p>
    <w:p w14:paraId="46581CBF">
      <w:pPr>
        <w:pStyle w:val="2"/>
        <w:rPr>
          <w:rFonts w:hint="eastAsia"/>
        </w:rPr>
      </w:pPr>
      <w:r>
        <w:rPr>
          <w:rFonts w:hint="eastAsia"/>
        </w:rPr>
        <w:t xml:space="preserve">detect the majority of people with active, bacteriologically confirmed TB. Chest </w:t>
      </w:r>
    </w:p>
    <w:p w14:paraId="65A68BEF">
      <w:pPr>
        <w:pStyle w:val="2"/>
        <w:rPr>
          <w:rFonts w:hint="eastAsia"/>
        </w:rPr>
      </w:pPr>
      <w:r>
        <w:rPr>
          <w:rFonts w:hint="eastAsia"/>
        </w:rPr>
        <w:t xml:space="preserve">X-ray, with markedly higher sensitivity than symptom screening or molecular </w:t>
      </w:r>
    </w:p>
    <w:p w14:paraId="2FEA7772">
      <w:pPr>
        <w:pStyle w:val="2"/>
        <w:rPr>
          <w:rFonts w:hint="eastAsia"/>
        </w:rPr>
      </w:pPr>
      <w:r>
        <w:rPr>
          <w:rFonts w:hint="eastAsia"/>
        </w:rPr>
        <w:t xml:space="preserve">testing under real-world survey conditions, should be repositioned as a primary </w:t>
      </w:r>
    </w:p>
    <w:p w14:paraId="10E64ED2">
      <w:pPr>
        <w:pStyle w:val="2"/>
        <w:rPr>
          <w:rFonts w:hint="eastAsia"/>
        </w:rPr>
      </w:pPr>
      <w:r>
        <w:rPr>
          <w:rFonts w:hint="eastAsia"/>
        </w:rPr>
        <w:t>screening tool in high-burden settings.</w:t>
      </w:r>
    </w:p>
    <w:p w14:paraId="0EF09E60">
      <w:pPr>
        <w:pStyle w:val="2"/>
        <w:rPr>
          <w:rFonts w:hint="eastAsia"/>
        </w:rPr>
      </w:pPr>
    </w:p>
    <w:p w14:paraId="005BC0BE">
      <w:pPr>
        <w:pStyle w:val="2"/>
        <w:rPr>
          <w:rFonts w:hint="eastAsia"/>
        </w:rPr>
      </w:pPr>
      <w:r>
        <w:rPr>
          <w:rFonts w:hint="eastAsia"/>
        </w:rPr>
        <w:t>Copyright © 2026 Mukherjee, Ndayizigye, Lee, Gilmore, Benali, Maama and Andom.</w:t>
      </w:r>
    </w:p>
    <w:p w14:paraId="48622F28">
      <w:pPr>
        <w:pStyle w:val="2"/>
        <w:rPr>
          <w:rFonts w:hint="eastAsia"/>
        </w:rPr>
      </w:pPr>
    </w:p>
    <w:p w14:paraId="6E5617EF">
      <w:pPr>
        <w:pStyle w:val="2"/>
        <w:rPr>
          <w:rFonts w:hint="eastAsia"/>
        </w:rPr>
      </w:pPr>
      <w:r>
        <w:rPr>
          <w:rFonts w:hint="eastAsia"/>
        </w:rPr>
        <w:t>DOI: 10.3389/fpubh.2026.1941743</w:t>
      </w:r>
    </w:p>
    <w:p w14:paraId="5A2FABCE">
      <w:pPr>
        <w:pStyle w:val="2"/>
        <w:rPr>
          <w:rFonts w:hint="eastAsia"/>
        </w:rPr>
      </w:pPr>
      <w:r>
        <w:rPr>
          <w:rFonts w:hint="eastAsia"/>
        </w:rPr>
        <w:t>PMCID: PMC13647112</w:t>
      </w:r>
    </w:p>
    <w:p w14:paraId="40AC5D8C">
      <w:pPr>
        <w:pStyle w:val="2"/>
        <w:rPr>
          <w:rFonts w:hint="eastAsia"/>
        </w:rPr>
      </w:pPr>
      <w:r>
        <w:rPr>
          <w:rFonts w:hint="eastAsia"/>
        </w:rPr>
        <w:t>PMID: 42852006 [Indexed for MEDLINE]</w:t>
      </w:r>
    </w:p>
    <w:p w14:paraId="5C092F4B">
      <w:pPr>
        <w:pStyle w:val="2"/>
        <w:rPr>
          <w:rFonts w:hint="eastAsia"/>
        </w:rPr>
      </w:pPr>
    </w:p>
    <w:p w14:paraId="5458E22D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68</w:t>
      </w:r>
      <w:r>
        <w:rPr>
          <w:rFonts w:hint="eastAsia"/>
          <w:b/>
          <w:bCs/>
          <w:color w:val="FF0000"/>
        </w:rPr>
        <w:t xml:space="preserve">. Front Cell Infect Microbiol. 2026 Sep 24;16:1958725. doi: </w:t>
      </w:r>
    </w:p>
    <w:p w14:paraId="0FE78B6B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10.3389/fcimb.2026.1958725. eCollection 2026.</w:t>
      </w:r>
    </w:p>
    <w:p w14:paraId="2A4899A7">
      <w:pPr>
        <w:pStyle w:val="2"/>
        <w:rPr>
          <w:rFonts w:hint="eastAsia"/>
        </w:rPr>
      </w:pPr>
    </w:p>
    <w:p w14:paraId="50085C23">
      <w:pPr>
        <w:pStyle w:val="2"/>
        <w:rPr>
          <w:rFonts w:hint="eastAsia"/>
        </w:rPr>
      </w:pPr>
      <w:r>
        <w:rPr>
          <w:rFonts w:hint="eastAsia"/>
        </w:rPr>
        <w:t xml:space="preserve">Biopsychosocial determinants of tuberculosis care and treatment outcomes: a </w:t>
      </w:r>
    </w:p>
    <w:p w14:paraId="34F43CDE">
      <w:pPr>
        <w:pStyle w:val="2"/>
        <w:rPr>
          <w:rFonts w:hint="eastAsia"/>
        </w:rPr>
      </w:pPr>
      <w:r>
        <w:rPr>
          <w:rFonts w:hint="eastAsia"/>
        </w:rPr>
        <w:t>scoping review and bibliometric analysis.</w:t>
      </w:r>
    </w:p>
    <w:p w14:paraId="429D6A01">
      <w:pPr>
        <w:pStyle w:val="2"/>
        <w:rPr>
          <w:rFonts w:hint="eastAsia"/>
        </w:rPr>
      </w:pPr>
    </w:p>
    <w:p w14:paraId="2F6CA912">
      <w:pPr>
        <w:pStyle w:val="2"/>
        <w:rPr>
          <w:rFonts w:hint="eastAsia"/>
        </w:rPr>
      </w:pPr>
      <w:r>
        <w:rPr>
          <w:rFonts w:hint="eastAsia"/>
        </w:rPr>
        <w:t xml:space="preserve">Wiratama BS(1), Susaldi S(2)(3), Lesmana MHS(4), Damanik MRM(5), Prasetya </w:t>
      </w:r>
    </w:p>
    <w:p w14:paraId="444EA4FE">
      <w:pPr>
        <w:pStyle w:val="2"/>
        <w:rPr>
          <w:rFonts w:hint="eastAsia"/>
        </w:rPr>
      </w:pPr>
      <w:r>
        <w:rPr>
          <w:rFonts w:hint="eastAsia"/>
        </w:rPr>
        <w:t>G(6)(7), Paramastri R(8), Pratiwi WR(9), Sadewa AH(10).</w:t>
      </w:r>
    </w:p>
    <w:p w14:paraId="5C19BCF0">
      <w:pPr>
        <w:pStyle w:val="2"/>
        <w:rPr>
          <w:rFonts w:hint="eastAsia"/>
        </w:rPr>
      </w:pPr>
    </w:p>
    <w:p w14:paraId="3C320F5F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6F32DA77">
      <w:pPr>
        <w:pStyle w:val="2"/>
        <w:rPr>
          <w:rFonts w:hint="eastAsia"/>
        </w:rPr>
      </w:pPr>
      <w:r>
        <w:rPr>
          <w:rFonts w:hint="eastAsia"/>
        </w:rPr>
        <w:t xml:space="preserve">(1)Department of Biostatistics, Epidemiology, and Population Health, Faculty of </w:t>
      </w:r>
    </w:p>
    <w:p w14:paraId="59E98871">
      <w:pPr>
        <w:pStyle w:val="2"/>
        <w:rPr>
          <w:rFonts w:hint="eastAsia"/>
        </w:rPr>
      </w:pPr>
      <w:r>
        <w:rPr>
          <w:rFonts w:hint="eastAsia"/>
        </w:rPr>
        <w:t xml:space="preserve">Medicine, Public Health, and Nursing, Universitas Gadjah Mada, </w:t>
      </w:r>
    </w:p>
    <w:p w14:paraId="504D9716">
      <w:pPr>
        <w:pStyle w:val="2"/>
        <w:rPr>
          <w:rFonts w:hint="eastAsia"/>
        </w:rPr>
      </w:pPr>
      <w:r>
        <w:rPr>
          <w:rFonts w:hint="eastAsia"/>
        </w:rPr>
        <w:t>Yogyakarta, Indonesia.</w:t>
      </w:r>
    </w:p>
    <w:p w14:paraId="13BDA75F">
      <w:pPr>
        <w:pStyle w:val="2"/>
        <w:rPr>
          <w:rFonts w:hint="eastAsia"/>
        </w:rPr>
      </w:pPr>
      <w:r>
        <w:rPr>
          <w:rFonts w:hint="eastAsia"/>
        </w:rPr>
        <w:t xml:space="preserve">(2)Faculty of Medicine, Public Health and Nursing, Universitas Gadjah Mada, </w:t>
      </w:r>
    </w:p>
    <w:p w14:paraId="5D30B535">
      <w:pPr>
        <w:pStyle w:val="2"/>
        <w:rPr>
          <w:rFonts w:hint="eastAsia"/>
        </w:rPr>
      </w:pPr>
      <w:r>
        <w:rPr>
          <w:rFonts w:hint="eastAsia"/>
        </w:rPr>
        <w:t>Yogyakarta, Indonesia.</w:t>
      </w:r>
    </w:p>
    <w:p w14:paraId="04C50008">
      <w:pPr>
        <w:pStyle w:val="2"/>
        <w:rPr>
          <w:rFonts w:hint="eastAsia"/>
        </w:rPr>
      </w:pPr>
      <w:r>
        <w:rPr>
          <w:rFonts w:hint="eastAsia"/>
        </w:rPr>
        <w:t>(3)Faculty of Health Sciences, Universitas Indonesia Maju, Jakarta, Indonesia.</w:t>
      </w:r>
    </w:p>
    <w:p w14:paraId="7F008A50">
      <w:pPr>
        <w:pStyle w:val="2"/>
        <w:rPr>
          <w:rFonts w:hint="eastAsia"/>
        </w:rPr>
      </w:pPr>
      <w:r>
        <w:rPr>
          <w:rFonts w:hint="eastAsia"/>
        </w:rPr>
        <w:t xml:space="preserve">(4)Department of Mental and Community Nursing, Faculty of Medicine, Public </w:t>
      </w:r>
    </w:p>
    <w:p w14:paraId="0D76BDA5">
      <w:pPr>
        <w:pStyle w:val="2"/>
        <w:rPr>
          <w:rFonts w:hint="eastAsia"/>
        </w:rPr>
      </w:pPr>
      <w:r>
        <w:rPr>
          <w:rFonts w:hint="eastAsia"/>
        </w:rPr>
        <w:t>Health and Nursing, Universitas Gadjah Mada, Yogyakarta, Indonesia.</w:t>
      </w:r>
    </w:p>
    <w:p w14:paraId="11333C7E">
      <w:pPr>
        <w:pStyle w:val="2"/>
        <w:rPr>
          <w:rFonts w:hint="eastAsia"/>
        </w:rPr>
      </w:pPr>
      <w:r>
        <w:rPr>
          <w:rFonts w:hint="eastAsia"/>
        </w:rPr>
        <w:t xml:space="preserve">(5)Faculty of Medicine and Nutrition, IPB University, Bogor, West </w:t>
      </w:r>
    </w:p>
    <w:p w14:paraId="713BB23F">
      <w:pPr>
        <w:pStyle w:val="2"/>
        <w:rPr>
          <w:rFonts w:hint="eastAsia"/>
        </w:rPr>
      </w:pPr>
      <w:r>
        <w:rPr>
          <w:rFonts w:hint="eastAsia"/>
        </w:rPr>
        <w:t>Java, Indonesia.</w:t>
      </w:r>
    </w:p>
    <w:p w14:paraId="14D182F1">
      <w:pPr>
        <w:pStyle w:val="2"/>
        <w:rPr>
          <w:rFonts w:hint="eastAsia"/>
        </w:rPr>
      </w:pPr>
      <w:r>
        <w:rPr>
          <w:rFonts w:hint="eastAsia"/>
        </w:rPr>
        <w:t xml:space="preserve">(6)Doctoral Study Program in Nutrition Science, Faculty of Medicine and </w:t>
      </w:r>
    </w:p>
    <w:p w14:paraId="0512E74D">
      <w:pPr>
        <w:pStyle w:val="2"/>
        <w:rPr>
          <w:rFonts w:hint="eastAsia"/>
        </w:rPr>
      </w:pPr>
      <w:r>
        <w:rPr>
          <w:rFonts w:hint="eastAsia"/>
        </w:rPr>
        <w:t>Nutrition, IPB University, Bogor, West Java, Indonesia.</w:t>
      </w:r>
    </w:p>
    <w:p w14:paraId="10D17806">
      <w:pPr>
        <w:pStyle w:val="2"/>
        <w:rPr>
          <w:rFonts w:hint="eastAsia"/>
        </w:rPr>
      </w:pPr>
      <w:r>
        <w:rPr>
          <w:rFonts w:hint="eastAsia"/>
        </w:rPr>
        <w:t>(7)Department of Nutrition, STIKes Mitra Keluarga, Bekasi, West Java, Indonesia.</w:t>
      </w:r>
    </w:p>
    <w:p w14:paraId="7B701A11">
      <w:pPr>
        <w:pStyle w:val="2"/>
        <w:rPr>
          <w:rFonts w:hint="eastAsia"/>
        </w:rPr>
      </w:pPr>
      <w:r>
        <w:rPr>
          <w:rFonts w:hint="eastAsia"/>
        </w:rPr>
        <w:t xml:space="preserve">(8)Department of Nutrition, Faculty of Public Health, Universitas Ahmad Dahlan, </w:t>
      </w:r>
    </w:p>
    <w:p w14:paraId="39004EE7">
      <w:pPr>
        <w:pStyle w:val="2"/>
        <w:rPr>
          <w:rFonts w:hint="eastAsia"/>
        </w:rPr>
      </w:pPr>
      <w:r>
        <w:rPr>
          <w:rFonts w:hint="eastAsia"/>
        </w:rPr>
        <w:t>Yogyakarta, Indonesia.</w:t>
      </w:r>
    </w:p>
    <w:p w14:paraId="54FAA2E4">
      <w:pPr>
        <w:pStyle w:val="2"/>
        <w:rPr>
          <w:rFonts w:hint="eastAsia"/>
        </w:rPr>
      </w:pPr>
      <w:r>
        <w:rPr>
          <w:rFonts w:hint="eastAsia"/>
        </w:rPr>
        <w:t xml:space="preserve">(9)Department of Pharmacology and Therapy, Faculty of Medicine, Public Health </w:t>
      </w:r>
    </w:p>
    <w:p w14:paraId="10DCF198">
      <w:pPr>
        <w:pStyle w:val="2"/>
        <w:rPr>
          <w:rFonts w:hint="eastAsia"/>
        </w:rPr>
      </w:pPr>
      <w:r>
        <w:rPr>
          <w:rFonts w:hint="eastAsia"/>
        </w:rPr>
        <w:t>and Nursing, Universitas Gadjah Mada, Yogyakarta, Indonesia.</w:t>
      </w:r>
    </w:p>
    <w:p w14:paraId="67E4ACDD">
      <w:pPr>
        <w:pStyle w:val="2"/>
        <w:rPr>
          <w:rFonts w:hint="eastAsia"/>
        </w:rPr>
      </w:pPr>
      <w:r>
        <w:rPr>
          <w:rFonts w:hint="eastAsia"/>
        </w:rPr>
        <w:t xml:space="preserve">(10)Department of Biochemistry, Faculty of Medicine, Public Health and Nursing, </w:t>
      </w:r>
    </w:p>
    <w:p w14:paraId="643BC6DF">
      <w:pPr>
        <w:pStyle w:val="2"/>
        <w:rPr>
          <w:rFonts w:hint="eastAsia"/>
        </w:rPr>
      </w:pPr>
      <w:r>
        <w:rPr>
          <w:rFonts w:hint="eastAsia"/>
        </w:rPr>
        <w:t>Universitas Gadjah Mada, Yogyakarta, Indonesia.</w:t>
      </w:r>
    </w:p>
    <w:p w14:paraId="4C6BBFF1">
      <w:pPr>
        <w:pStyle w:val="2"/>
        <w:rPr>
          <w:rFonts w:hint="eastAsia"/>
        </w:rPr>
      </w:pPr>
    </w:p>
    <w:p w14:paraId="3695D182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Tuberculosis (TB) remains the leading infectious-disease cause of </w:t>
      </w:r>
    </w:p>
    <w:p w14:paraId="5CFC0541">
      <w:pPr>
        <w:pStyle w:val="2"/>
        <w:rPr>
          <w:rFonts w:hint="eastAsia"/>
        </w:rPr>
      </w:pPr>
      <w:r>
        <w:rPr>
          <w:rFonts w:hint="eastAsia"/>
        </w:rPr>
        <w:t xml:space="preserve">death globally, with an estimated 10.7 million incident cases and 1.23 million </w:t>
      </w:r>
    </w:p>
    <w:p w14:paraId="268F9662">
      <w:pPr>
        <w:pStyle w:val="2"/>
        <w:rPr>
          <w:rFonts w:hint="eastAsia"/>
        </w:rPr>
      </w:pPr>
      <w:r>
        <w:rPr>
          <w:rFonts w:hint="eastAsia"/>
        </w:rPr>
        <w:t xml:space="preserve">deaths in 2024. Its persistence is driven not by microbial factors alone, but by </w:t>
      </w:r>
    </w:p>
    <w:p w14:paraId="6F57A9C1">
      <w:pPr>
        <w:pStyle w:val="2"/>
        <w:rPr>
          <w:rFonts w:hint="eastAsia"/>
        </w:rPr>
      </w:pPr>
      <w:r>
        <w:rPr>
          <w:rFonts w:hint="eastAsia"/>
        </w:rPr>
        <w:t xml:space="preserve">a complex interplay of biological, psychological, and social determinants </w:t>
      </w:r>
    </w:p>
    <w:p w14:paraId="54B7FAAA">
      <w:pPr>
        <w:pStyle w:val="2"/>
        <w:rPr>
          <w:rFonts w:hint="eastAsia"/>
        </w:rPr>
      </w:pPr>
      <w:r>
        <w:rPr>
          <w:rFonts w:hint="eastAsia"/>
        </w:rPr>
        <w:t xml:space="preserve">influencing exposure, vulnerability, and access to care. Despite growing </w:t>
      </w:r>
    </w:p>
    <w:p w14:paraId="3827AE5C">
      <w:pPr>
        <w:pStyle w:val="2"/>
        <w:rPr>
          <w:rFonts w:hint="eastAsia"/>
        </w:rPr>
      </w:pPr>
      <w:r>
        <w:rPr>
          <w:rFonts w:hint="eastAsia"/>
        </w:rPr>
        <w:t xml:space="preserve">recognition of these biopsychosocial dimensions, the available evidence remains </w:t>
      </w:r>
    </w:p>
    <w:p w14:paraId="4E653F93">
      <w:pPr>
        <w:pStyle w:val="2"/>
        <w:rPr>
          <w:rFonts w:hint="eastAsia"/>
        </w:rPr>
      </w:pPr>
      <w:r>
        <w:rPr>
          <w:rFonts w:hint="eastAsia"/>
        </w:rPr>
        <w:t xml:space="preserve">fragmented across disciplines, and no previous review has comprehensively mapped </w:t>
      </w:r>
    </w:p>
    <w:p w14:paraId="05C35CE1">
      <w:pPr>
        <w:pStyle w:val="2"/>
        <w:rPr>
          <w:rFonts w:hint="eastAsia"/>
        </w:rPr>
      </w:pPr>
      <w:r>
        <w:rPr>
          <w:rFonts w:hint="eastAsia"/>
        </w:rPr>
        <w:t xml:space="preserve">their scope while simultaneously characterizing the structure and evolution of </w:t>
      </w:r>
    </w:p>
    <w:p w14:paraId="394591E6">
      <w:pPr>
        <w:pStyle w:val="2"/>
        <w:rPr>
          <w:rFonts w:hint="eastAsia"/>
        </w:rPr>
      </w:pPr>
      <w:r>
        <w:rPr>
          <w:rFonts w:hint="eastAsia"/>
        </w:rPr>
        <w:t>this research field.</w:t>
      </w:r>
    </w:p>
    <w:p w14:paraId="41EAAC9B">
      <w:pPr>
        <w:pStyle w:val="2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We conducted an integrated scoping review and bibliometric analysis. </w:t>
      </w:r>
    </w:p>
    <w:p w14:paraId="0ABEA06A">
      <w:pPr>
        <w:pStyle w:val="2"/>
        <w:rPr>
          <w:rFonts w:hint="eastAsia"/>
        </w:rPr>
      </w:pPr>
      <w:r>
        <w:rPr>
          <w:rFonts w:hint="eastAsia"/>
        </w:rPr>
        <w:t xml:space="preserve">Scopus, PubMed, and Web of Science were searched from database inception through </w:t>
      </w:r>
    </w:p>
    <w:p w14:paraId="4627DB63">
      <w:pPr>
        <w:pStyle w:val="2"/>
        <w:rPr>
          <w:rFonts w:hint="eastAsia"/>
        </w:rPr>
      </w:pPr>
      <w:r>
        <w:rPr>
          <w:rFonts w:hint="eastAsia"/>
        </w:rPr>
        <w:t xml:space="preserve">21 January 2026. Empirical studies examining biological, psychological, or </w:t>
      </w:r>
    </w:p>
    <w:p w14:paraId="007C8019">
      <w:pPr>
        <w:pStyle w:val="2"/>
        <w:rPr>
          <w:rFonts w:hint="eastAsia"/>
        </w:rPr>
      </w:pPr>
      <w:r>
        <w:rPr>
          <w:rFonts w:hint="eastAsia"/>
        </w:rPr>
        <w:t xml:space="preserve">social determinants associated with TB care or treatment outcomes were eligible. </w:t>
      </w:r>
    </w:p>
    <w:p w14:paraId="2F3C595F">
      <w:pPr>
        <w:pStyle w:val="2"/>
        <w:rPr>
          <w:rFonts w:hint="eastAsia"/>
        </w:rPr>
      </w:pPr>
      <w:r>
        <w:rPr>
          <w:rFonts w:hint="eastAsia"/>
        </w:rPr>
        <w:t xml:space="preserve">Data were extracted using a structured charting framework following Joanna </w:t>
      </w:r>
    </w:p>
    <w:p w14:paraId="2A2895B5">
      <w:pPr>
        <w:pStyle w:val="2"/>
        <w:rPr>
          <w:rFonts w:hint="eastAsia"/>
        </w:rPr>
      </w:pPr>
      <w:r>
        <w:rPr>
          <w:rFonts w:hint="eastAsia"/>
        </w:rPr>
        <w:t xml:space="preserve">Briggs Institute (JBI) methodology and reported according to the PRISMA </w:t>
      </w:r>
    </w:p>
    <w:p w14:paraId="56A7E15C">
      <w:pPr>
        <w:pStyle w:val="2"/>
        <w:rPr>
          <w:rFonts w:hint="eastAsia"/>
        </w:rPr>
      </w:pPr>
      <w:r>
        <w:rPr>
          <w:rFonts w:hint="eastAsia"/>
        </w:rPr>
        <w:t xml:space="preserve">Extension for Scoping Reviews (PRISMA-ScR). Bibliometric analyses were performed </w:t>
      </w:r>
    </w:p>
    <w:p w14:paraId="36629800">
      <w:pPr>
        <w:pStyle w:val="2"/>
        <w:rPr>
          <w:rFonts w:hint="eastAsia"/>
        </w:rPr>
      </w:pPr>
      <w:r>
        <w:rPr>
          <w:rFonts w:hint="eastAsia"/>
        </w:rPr>
        <w:t xml:space="preserve">using VOSviewer and the Bibliometrix R package to characterize publication </w:t>
      </w:r>
    </w:p>
    <w:p w14:paraId="046C2722">
      <w:pPr>
        <w:pStyle w:val="2"/>
        <w:rPr>
          <w:rFonts w:hint="eastAsia"/>
        </w:rPr>
      </w:pPr>
      <w:r>
        <w:rPr>
          <w:rFonts w:hint="eastAsia"/>
        </w:rPr>
        <w:t xml:space="preserve">trends, collaboration networks, and thematic evolution. Study-specific effect </w:t>
      </w:r>
    </w:p>
    <w:p w14:paraId="5746FC83">
      <w:pPr>
        <w:pStyle w:val="2"/>
        <w:rPr>
          <w:rFonts w:hint="eastAsia"/>
        </w:rPr>
      </w:pPr>
      <w:r>
        <w:rPr>
          <w:rFonts w:hint="eastAsia"/>
        </w:rPr>
        <w:t xml:space="preserve">estimates were summarized descriptively where available; meta-analysis was not </w:t>
      </w:r>
    </w:p>
    <w:p w14:paraId="381C25B2">
      <w:pPr>
        <w:pStyle w:val="2"/>
        <w:rPr>
          <w:rFonts w:hint="eastAsia"/>
        </w:rPr>
      </w:pPr>
      <w:r>
        <w:rPr>
          <w:rFonts w:hint="eastAsia"/>
        </w:rPr>
        <w:t>undertaken because of substantial clinical and methodological heterogeneity.</w:t>
      </w:r>
    </w:p>
    <w:p w14:paraId="1729A83F">
      <w:pPr>
        <w:pStyle w:val="2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A total of 124 studies were included, identifying 78 determinants </w:t>
      </w:r>
    </w:p>
    <w:p w14:paraId="0FA7CF55">
      <w:pPr>
        <w:pStyle w:val="2"/>
        <w:rPr>
          <w:rFonts w:hint="eastAsia"/>
        </w:rPr>
      </w:pPr>
      <w:r>
        <w:rPr>
          <w:rFonts w:hint="eastAsia"/>
        </w:rPr>
        <w:t xml:space="preserve">across biological (n = 25), psychological (n = 25), and social (n = 28) domains. </w:t>
      </w:r>
    </w:p>
    <w:p w14:paraId="4915179D">
      <w:pPr>
        <w:pStyle w:val="2"/>
        <w:rPr>
          <w:rFonts w:hint="eastAsia"/>
        </w:rPr>
      </w:pPr>
      <w:r>
        <w:rPr>
          <w:rFonts w:hint="eastAsia"/>
        </w:rPr>
        <w:t xml:space="preserve">HIV co-infection, diabetes, malnutrition, smoking, alcohol use, stigma, limited </w:t>
      </w:r>
    </w:p>
    <w:p w14:paraId="6B04E8ED">
      <w:pPr>
        <w:pStyle w:val="2"/>
        <w:rPr>
          <w:rFonts w:hint="eastAsia"/>
        </w:rPr>
      </w:pPr>
      <w:r>
        <w:rPr>
          <w:rFonts w:hint="eastAsia"/>
        </w:rPr>
        <w:t xml:space="preserve">TB knowledge, poverty, and barriers to healthcare access were consistently </w:t>
      </w:r>
    </w:p>
    <w:p w14:paraId="017E48C0">
      <w:pPr>
        <w:pStyle w:val="2"/>
        <w:rPr>
          <w:rFonts w:hint="eastAsia"/>
        </w:rPr>
      </w:pPr>
      <w:r>
        <w:rPr>
          <w:rFonts w:hint="eastAsia"/>
        </w:rPr>
        <w:t xml:space="preserve">associated with delayed diagnosis, poor treatment adherence, multidrug-resistant </w:t>
      </w:r>
    </w:p>
    <w:p w14:paraId="6A03E873">
      <w:pPr>
        <w:pStyle w:val="2"/>
        <w:rPr>
          <w:rFonts w:hint="eastAsia"/>
        </w:rPr>
      </w:pPr>
      <w:r>
        <w:rPr>
          <w:rFonts w:hint="eastAsia"/>
        </w:rPr>
        <w:t xml:space="preserve">TB (MDR-TB), unsuccessful treatment outcomes, and mortality. Bibliometric </w:t>
      </w:r>
    </w:p>
    <w:p w14:paraId="782AA86A">
      <w:pPr>
        <w:pStyle w:val="2"/>
        <w:rPr>
          <w:rFonts w:hint="eastAsia"/>
        </w:rPr>
      </w:pPr>
      <w:r>
        <w:rPr>
          <w:rFonts w:hint="eastAsia"/>
        </w:rPr>
        <w:t xml:space="preserve">analysis demonstrated sustained growth in research output and an expansion from </w:t>
      </w:r>
    </w:p>
    <w:p w14:paraId="61F6686A">
      <w:pPr>
        <w:pStyle w:val="2"/>
        <w:rPr>
          <w:rFonts w:hint="eastAsia"/>
        </w:rPr>
      </w:pPr>
      <w:r>
        <w:rPr>
          <w:rFonts w:hint="eastAsia"/>
        </w:rPr>
        <w:t xml:space="preserve">predominantly biomedical topics toward mental health, social determinants, </w:t>
      </w:r>
    </w:p>
    <w:p w14:paraId="67EAD013">
      <w:pPr>
        <w:pStyle w:val="2"/>
        <w:rPr>
          <w:rFonts w:hint="eastAsia"/>
        </w:rPr>
      </w:pPr>
      <w:r>
        <w:rPr>
          <w:rFonts w:hint="eastAsia"/>
        </w:rPr>
        <w:t xml:space="preserve">digital health, and data-driven approaches. Integration of findings identified </w:t>
      </w:r>
    </w:p>
    <w:p w14:paraId="2AEA2F01">
      <w:pPr>
        <w:pStyle w:val="2"/>
        <w:rPr>
          <w:rFonts w:hint="eastAsia"/>
        </w:rPr>
      </w:pPr>
      <w:r>
        <w:rPr>
          <w:rFonts w:hint="eastAsia"/>
        </w:rPr>
        <w:t xml:space="preserve">evidence gaps, with several determinants strongly associated with adverse </w:t>
      </w:r>
    </w:p>
    <w:p w14:paraId="6FCBECF0">
      <w:pPr>
        <w:pStyle w:val="2"/>
        <w:rPr>
          <w:rFonts w:hint="eastAsia"/>
        </w:rPr>
      </w:pPr>
      <w:r>
        <w:rPr>
          <w:rFonts w:hint="eastAsia"/>
        </w:rPr>
        <w:t>outcomes receiving comparatively limited research attention.</w:t>
      </w:r>
    </w:p>
    <w:p w14:paraId="55A1F4AF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CONCLUSION: </w:t>
      </w:r>
      <w:r>
        <w:rPr>
          <w:rFonts w:hint="eastAsia"/>
        </w:rPr>
        <w:t xml:space="preserve">Integrating a scoping review with bibliometric analysis provides a </w:t>
      </w:r>
    </w:p>
    <w:p w14:paraId="06235C7A">
      <w:pPr>
        <w:pStyle w:val="2"/>
        <w:rPr>
          <w:rFonts w:hint="eastAsia"/>
        </w:rPr>
      </w:pPr>
      <w:r>
        <w:rPr>
          <w:rFonts w:hint="eastAsia"/>
        </w:rPr>
        <w:t xml:space="preserve">comprehensive understanding of biopsychosocial determinants associated with TB </w:t>
      </w:r>
    </w:p>
    <w:p w14:paraId="63B84DA6">
      <w:pPr>
        <w:pStyle w:val="2"/>
        <w:rPr>
          <w:rFonts w:hint="eastAsia"/>
        </w:rPr>
      </w:pPr>
      <w:r>
        <w:rPr>
          <w:rFonts w:hint="eastAsia"/>
        </w:rPr>
        <w:t xml:space="preserve">care and treatment outcomes while identifying evidence gaps and emerging </w:t>
      </w:r>
    </w:p>
    <w:p w14:paraId="6CC42979">
      <w:pPr>
        <w:pStyle w:val="2"/>
        <w:rPr>
          <w:rFonts w:hint="eastAsia"/>
        </w:rPr>
      </w:pPr>
      <w:r>
        <w:rPr>
          <w:rFonts w:hint="eastAsia"/>
        </w:rPr>
        <w:t xml:space="preserve">research priorities. These findings support multidisciplinary TB control </w:t>
      </w:r>
    </w:p>
    <w:p w14:paraId="09E53825">
      <w:pPr>
        <w:pStyle w:val="2"/>
        <w:rPr>
          <w:rFonts w:hint="eastAsia"/>
        </w:rPr>
      </w:pPr>
      <w:r>
        <w:rPr>
          <w:rFonts w:hint="eastAsia"/>
        </w:rPr>
        <w:t xml:space="preserve">strategies addressing biological, psychological, and social determinants to </w:t>
      </w:r>
    </w:p>
    <w:p w14:paraId="146A30C7">
      <w:pPr>
        <w:pStyle w:val="2"/>
        <w:rPr>
          <w:rFonts w:hint="eastAsia"/>
        </w:rPr>
      </w:pPr>
      <w:r>
        <w:rPr>
          <w:rFonts w:hint="eastAsia"/>
        </w:rPr>
        <w:t>strengthen person-centered care.</w:t>
      </w:r>
    </w:p>
    <w:p w14:paraId="0288A743">
      <w:pPr>
        <w:pStyle w:val="2"/>
        <w:rPr>
          <w:rFonts w:hint="eastAsia"/>
        </w:rPr>
      </w:pPr>
      <w:r>
        <w:rPr>
          <w:rFonts w:hint="eastAsia"/>
        </w:rPr>
        <w:t>SYSTEMATIC REVIEW REGISTRATION: https://osf.io/8fpky/, identifier 8fpky.</w:t>
      </w:r>
    </w:p>
    <w:p w14:paraId="17113C36">
      <w:pPr>
        <w:pStyle w:val="2"/>
        <w:rPr>
          <w:rFonts w:hint="eastAsia"/>
        </w:rPr>
      </w:pPr>
    </w:p>
    <w:p w14:paraId="0B6621AE">
      <w:pPr>
        <w:pStyle w:val="2"/>
        <w:rPr>
          <w:rFonts w:hint="eastAsia"/>
        </w:rPr>
      </w:pPr>
      <w:r>
        <w:rPr>
          <w:rFonts w:hint="eastAsia"/>
        </w:rPr>
        <w:t xml:space="preserve">Copyright © 2026 Wiratama, Susaldi, Lesmana, Damanik, Prasetya, Paramastri, </w:t>
      </w:r>
    </w:p>
    <w:p w14:paraId="37C652F5">
      <w:pPr>
        <w:pStyle w:val="2"/>
        <w:rPr>
          <w:rFonts w:hint="eastAsia"/>
        </w:rPr>
      </w:pPr>
      <w:r>
        <w:rPr>
          <w:rFonts w:hint="eastAsia"/>
        </w:rPr>
        <w:t>Pratiwi and Sadewa.</w:t>
      </w:r>
    </w:p>
    <w:p w14:paraId="34506C1D">
      <w:pPr>
        <w:pStyle w:val="2"/>
        <w:rPr>
          <w:rFonts w:hint="eastAsia"/>
        </w:rPr>
      </w:pPr>
    </w:p>
    <w:p w14:paraId="61C68514">
      <w:pPr>
        <w:pStyle w:val="2"/>
        <w:rPr>
          <w:rFonts w:hint="eastAsia"/>
        </w:rPr>
      </w:pPr>
      <w:r>
        <w:rPr>
          <w:rFonts w:hint="eastAsia"/>
        </w:rPr>
        <w:t>DOI: 10.3389/fcimb.2026.1958725</w:t>
      </w:r>
    </w:p>
    <w:p w14:paraId="44202BDF">
      <w:pPr>
        <w:pStyle w:val="2"/>
        <w:rPr>
          <w:rFonts w:hint="eastAsia"/>
        </w:rPr>
      </w:pPr>
      <w:r>
        <w:rPr>
          <w:rFonts w:hint="eastAsia"/>
        </w:rPr>
        <w:t>PMCID: PMC13645701</w:t>
      </w:r>
    </w:p>
    <w:p w14:paraId="40A6606E">
      <w:pPr>
        <w:pStyle w:val="2"/>
        <w:rPr>
          <w:rFonts w:hint="eastAsia"/>
        </w:rPr>
      </w:pPr>
      <w:r>
        <w:rPr>
          <w:rFonts w:hint="eastAsia"/>
        </w:rPr>
        <w:t>PMID: 42851584 [Indexed for MEDLINE]</w:t>
      </w:r>
    </w:p>
    <w:p w14:paraId="0AD0A8DA">
      <w:pPr>
        <w:pStyle w:val="2"/>
        <w:rPr>
          <w:rFonts w:hint="eastAsia"/>
        </w:rPr>
      </w:pPr>
    </w:p>
    <w:p w14:paraId="11CBAC08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69</w:t>
      </w:r>
      <w:r>
        <w:rPr>
          <w:rFonts w:hint="eastAsia"/>
          <w:b/>
          <w:bCs/>
          <w:color w:val="FF0000"/>
        </w:rPr>
        <w:t xml:space="preserve">. Front Med (Lausanne). 2026 Sep 24;13:1941883. doi: 10.3389/fmed.2026.1941883. </w:t>
      </w:r>
    </w:p>
    <w:p w14:paraId="52F5A073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2026.</w:t>
      </w:r>
    </w:p>
    <w:p w14:paraId="5A42182F">
      <w:pPr>
        <w:pStyle w:val="2"/>
        <w:rPr>
          <w:rFonts w:hint="eastAsia"/>
        </w:rPr>
      </w:pPr>
    </w:p>
    <w:p w14:paraId="543603DC">
      <w:pPr>
        <w:pStyle w:val="2"/>
        <w:rPr>
          <w:rFonts w:hint="eastAsia"/>
        </w:rPr>
      </w:pPr>
      <w:r>
        <w:rPr>
          <w:rFonts w:hint="eastAsia"/>
        </w:rPr>
        <w:t xml:space="preserve">Disseminated Aspergillus flavus infection presenting as spondylodiscitis: a </w:t>
      </w:r>
    </w:p>
    <w:p w14:paraId="48FD62BD">
      <w:pPr>
        <w:pStyle w:val="2"/>
        <w:rPr>
          <w:rFonts w:hint="eastAsia"/>
        </w:rPr>
      </w:pPr>
      <w:r>
        <w:rPr>
          <w:rFonts w:hint="eastAsia"/>
        </w:rPr>
        <w:t xml:space="preserve">fatal tuberculosis mimicker in an immunocompetent host - case report and </w:t>
      </w:r>
    </w:p>
    <w:p w14:paraId="19DD171F">
      <w:pPr>
        <w:pStyle w:val="2"/>
        <w:rPr>
          <w:rFonts w:hint="eastAsia"/>
        </w:rPr>
      </w:pPr>
      <w:r>
        <w:rPr>
          <w:rFonts w:hint="eastAsia"/>
        </w:rPr>
        <w:t>literature review.</w:t>
      </w:r>
    </w:p>
    <w:p w14:paraId="18F5AF9E">
      <w:pPr>
        <w:pStyle w:val="2"/>
        <w:rPr>
          <w:rFonts w:hint="eastAsia"/>
        </w:rPr>
      </w:pPr>
    </w:p>
    <w:p w14:paraId="0E297C3D">
      <w:pPr>
        <w:pStyle w:val="2"/>
        <w:rPr>
          <w:rFonts w:hint="eastAsia"/>
        </w:rPr>
      </w:pPr>
      <w:r>
        <w:rPr>
          <w:rFonts w:hint="eastAsia"/>
        </w:rPr>
        <w:t xml:space="preserve">Smaoui O(#)(1), Ernandes H(#)(2), Gassara F(1), Limam H(1), Beji I(1), Ammari </w:t>
      </w:r>
    </w:p>
    <w:p w14:paraId="14436E55">
      <w:pPr>
        <w:pStyle w:val="2"/>
        <w:rPr>
          <w:rFonts w:hint="eastAsia"/>
        </w:rPr>
      </w:pPr>
      <w:r>
        <w:rPr>
          <w:rFonts w:hint="eastAsia"/>
        </w:rPr>
        <w:t>L(1), Berriche A(1).</w:t>
      </w:r>
    </w:p>
    <w:p w14:paraId="03036A17">
      <w:pPr>
        <w:pStyle w:val="2"/>
        <w:rPr>
          <w:rFonts w:hint="eastAsia"/>
        </w:rPr>
      </w:pPr>
    </w:p>
    <w:p w14:paraId="10CBE17D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11662C7A">
      <w:pPr>
        <w:pStyle w:val="2"/>
        <w:rPr>
          <w:rFonts w:hint="eastAsia"/>
        </w:rPr>
      </w:pPr>
      <w:r>
        <w:rPr>
          <w:rFonts w:hint="eastAsia"/>
        </w:rPr>
        <w:t>(1)Infectious Diseases Department, La Rabta Hospital, Tunis, Tunisia.</w:t>
      </w:r>
    </w:p>
    <w:p w14:paraId="667376C7">
      <w:pPr>
        <w:pStyle w:val="2"/>
        <w:rPr>
          <w:rFonts w:hint="eastAsia"/>
        </w:rPr>
      </w:pPr>
      <w:r>
        <w:rPr>
          <w:rFonts w:hint="eastAsia"/>
        </w:rPr>
        <w:t xml:space="preserve">(2)Infectious Diseases Department, Mohamed Kassab Institute of Orthopedics, </w:t>
      </w:r>
    </w:p>
    <w:p w14:paraId="4FFEA2D5">
      <w:pPr>
        <w:pStyle w:val="2"/>
        <w:rPr>
          <w:rFonts w:hint="eastAsia"/>
        </w:rPr>
      </w:pPr>
      <w:r>
        <w:rPr>
          <w:rFonts w:hint="eastAsia"/>
        </w:rPr>
        <w:t>Manouba, Tunisia.</w:t>
      </w:r>
    </w:p>
    <w:p w14:paraId="23BDB9DE">
      <w:pPr>
        <w:pStyle w:val="2"/>
        <w:rPr>
          <w:rFonts w:hint="eastAsia"/>
        </w:rPr>
      </w:pPr>
      <w:r>
        <w:rPr>
          <w:rFonts w:hint="eastAsia"/>
        </w:rPr>
        <w:t>(#)Contributed equally</w:t>
      </w:r>
    </w:p>
    <w:p w14:paraId="3310FF20">
      <w:pPr>
        <w:pStyle w:val="2"/>
        <w:rPr>
          <w:rFonts w:hint="eastAsia"/>
        </w:rPr>
      </w:pPr>
    </w:p>
    <w:p w14:paraId="2F6D691E">
      <w:pPr>
        <w:pStyle w:val="2"/>
        <w:rPr>
          <w:rFonts w:hint="eastAsia"/>
        </w:rPr>
      </w:pPr>
      <w:r>
        <w:rPr>
          <w:rFonts w:hint="eastAsia"/>
          <w:b/>
          <w:bCs/>
        </w:rPr>
        <w:t>INTRODUCTION:</w:t>
      </w:r>
      <w:r>
        <w:rPr>
          <w:rFonts w:hint="eastAsia"/>
        </w:rPr>
        <w:t xml:space="preserve"> Disseminated invasive aspergillosis is a rare but life-threatening </w:t>
      </w:r>
    </w:p>
    <w:p w14:paraId="49EBDC9C">
      <w:pPr>
        <w:pStyle w:val="2"/>
        <w:rPr>
          <w:rFonts w:hint="eastAsia"/>
        </w:rPr>
      </w:pPr>
      <w:r>
        <w:rPr>
          <w:rFonts w:hint="eastAsia"/>
        </w:rPr>
        <w:t xml:space="preserve">fungal infection that predominantly affects immunocompromised individuals. </w:t>
      </w:r>
    </w:p>
    <w:p w14:paraId="1B305472">
      <w:pPr>
        <w:pStyle w:val="2"/>
        <w:rPr>
          <w:rFonts w:hint="eastAsia"/>
        </w:rPr>
      </w:pPr>
      <w:r>
        <w:rPr>
          <w:rFonts w:hint="eastAsia"/>
        </w:rPr>
        <w:t xml:space="preserve">Vertebral involvement is an uncommon manifestation, and diagnosis in </w:t>
      </w:r>
    </w:p>
    <w:p w14:paraId="47B362B3">
      <w:pPr>
        <w:pStyle w:val="2"/>
        <w:rPr>
          <w:rFonts w:hint="eastAsia"/>
        </w:rPr>
      </w:pPr>
      <w:r>
        <w:rPr>
          <w:rFonts w:hint="eastAsia"/>
        </w:rPr>
        <w:t xml:space="preserve">immunocompetent patients is particularly challenging because of its nonspecific </w:t>
      </w:r>
    </w:p>
    <w:p w14:paraId="6FC40A1D">
      <w:pPr>
        <w:pStyle w:val="2"/>
        <w:rPr>
          <w:rFonts w:hint="eastAsia"/>
        </w:rPr>
      </w:pPr>
      <w:r>
        <w:rPr>
          <w:rFonts w:hint="eastAsia"/>
        </w:rPr>
        <w:t xml:space="preserve">clinical and radiological features, often resulting in delayed diagnosis and </w:t>
      </w:r>
    </w:p>
    <w:p w14:paraId="7222C597">
      <w:pPr>
        <w:pStyle w:val="2"/>
        <w:rPr>
          <w:rFonts w:hint="eastAsia"/>
        </w:rPr>
      </w:pPr>
      <w:r>
        <w:rPr>
          <w:rFonts w:hint="eastAsia"/>
        </w:rPr>
        <w:t xml:space="preserve">inappropriate therapy. We report a fatal case of disseminated Aspergillus flavus </w:t>
      </w:r>
    </w:p>
    <w:p w14:paraId="26F290D4">
      <w:pPr>
        <w:pStyle w:val="2"/>
        <w:rPr>
          <w:rFonts w:hint="eastAsia"/>
        </w:rPr>
      </w:pPr>
      <w:r>
        <w:rPr>
          <w:rFonts w:hint="eastAsia"/>
        </w:rPr>
        <w:t xml:space="preserve">aspergillosis presenting as spondylodiscitis in an immunocompetent host, </w:t>
      </w:r>
    </w:p>
    <w:p w14:paraId="69EE6884">
      <w:pPr>
        <w:pStyle w:val="2"/>
        <w:rPr>
          <w:rFonts w:hint="eastAsia"/>
        </w:rPr>
      </w:pPr>
      <w:r>
        <w:rPr>
          <w:rFonts w:hint="eastAsia"/>
        </w:rPr>
        <w:t>highlighting the diagnostic challenges and therapeutic implications.</w:t>
      </w:r>
    </w:p>
    <w:p w14:paraId="015AB2C7">
      <w:pPr>
        <w:pStyle w:val="2"/>
        <w:rPr>
          <w:rFonts w:hint="eastAsia"/>
        </w:rPr>
      </w:pPr>
      <w:r>
        <w:rPr>
          <w:rFonts w:hint="eastAsia"/>
          <w:b/>
          <w:bCs/>
        </w:rPr>
        <w:t>CASE DESCRIPTION:</w:t>
      </w:r>
      <w:r>
        <w:rPr>
          <w:rFonts w:hint="eastAsia"/>
        </w:rPr>
        <w:t xml:space="preserve"> A 54-year-old man with no recognized immunosuppressive </w:t>
      </w:r>
    </w:p>
    <w:p w14:paraId="2DE5AC09">
      <w:pPr>
        <w:pStyle w:val="2"/>
        <w:rPr>
          <w:rFonts w:hint="eastAsia"/>
        </w:rPr>
      </w:pPr>
      <w:r>
        <w:rPr>
          <w:rFonts w:hint="eastAsia"/>
        </w:rPr>
        <w:t xml:space="preserve">condition presented with a five-month history of progressive dorsolumbar pain </w:t>
      </w:r>
    </w:p>
    <w:p w14:paraId="5B73DD02">
      <w:pPr>
        <w:pStyle w:val="2"/>
        <w:rPr>
          <w:rFonts w:hint="eastAsia"/>
        </w:rPr>
      </w:pPr>
      <w:r>
        <w:rPr>
          <w:rFonts w:hint="eastAsia"/>
        </w:rPr>
        <w:t xml:space="preserve">complicated by paraparesis. Magnetic resonance imaging demonstrated thoracic </w:t>
      </w:r>
    </w:p>
    <w:p w14:paraId="02F11545">
      <w:pPr>
        <w:pStyle w:val="2"/>
        <w:rPr>
          <w:rFonts w:hint="eastAsia"/>
        </w:rPr>
      </w:pPr>
      <w:r>
        <w:rPr>
          <w:rFonts w:hint="eastAsia"/>
        </w:rPr>
        <w:t xml:space="preserve">spondylodiscitis with extensive epidural and paravertebral abscesses. </w:t>
      </w:r>
    </w:p>
    <w:p w14:paraId="2A915B49">
      <w:pPr>
        <w:pStyle w:val="2"/>
        <w:rPr>
          <w:rFonts w:hint="eastAsia"/>
        </w:rPr>
      </w:pPr>
      <w:r>
        <w:rPr>
          <w:rFonts w:hint="eastAsia"/>
        </w:rPr>
        <w:t xml:space="preserve">Histopathological examination of the discovertebral biopsy initially suggested </w:t>
      </w:r>
    </w:p>
    <w:p w14:paraId="5903A1F5">
      <w:pPr>
        <w:pStyle w:val="2"/>
        <w:rPr>
          <w:rFonts w:hint="eastAsia"/>
        </w:rPr>
      </w:pPr>
      <w:r>
        <w:rPr>
          <w:rFonts w:hint="eastAsia"/>
        </w:rPr>
        <w:t xml:space="preserve">tuberculous spondylodiscitis, leading to empirical antituberculous therapy and </w:t>
      </w:r>
    </w:p>
    <w:p w14:paraId="17BB3D7F">
      <w:pPr>
        <w:pStyle w:val="2"/>
        <w:rPr>
          <w:rFonts w:hint="eastAsia"/>
        </w:rPr>
      </w:pPr>
      <w:r>
        <w:rPr>
          <w:rFonts w:hint="eastAsia"/>
        </w:rPr>
        <w:t xml:space="preserve">corticosteroid administration. Mycological culture and periodic acid-Schiff </w:t>
      </w:r>
    </w:p>
    <w:p w14:paraId="27EAF6B4">
      <w:pPr>
        <w:pStyle w:val="2"/>
        <w:rPr>
          <w:rFonts w:hint="eastAsia"/>
        </w:rPr>
      </w:pPr>
      <w:r>
        <w:rPr>
          <w:rFonts w:hint="eastAsia"/>
        </w:rPr>
        <w:t xml:space="preserve">staining subsequently identified an Aspergillus section Flavi isolate </w:t>
      </w:r>
    </w:p>
    <w:p w14:paraId="05C07046">
      <w:pPr>
        <w:pStyle w:val="2"/>
        <w:rPr>
          <w:rFonts w:hint="eastAsia"/>
        </w:rPr>
      </w:pPr>
      <w:r>
        <w:rPr>
          <w:rFonts w:hint="eastAsia"/>
        </w:rPr>
        <w:t xml:space="preserve">phenotypically identified as Aspergillus flavus, establishing the diagnosis of </w:t>
      </w:r>
    </w:p>
    <w:p w14:paraId="12756E0C">
      <w:pPr>
        <w:pStyle w:val="2"/>
        <w:rPr>
          <w:rFonts w:hint="eastAsia"/>
        </w:rPr>
      </w:pPr>
      <w:r>
        <w:rPr>
          <w:rFonts w:hint="eastAsia"/>
        </w:rPr>
        <w:t xml:space="preserve">Aspergillus spondylodiscitis. Empirical antifungal therapy with amphotericin B </w:t>
      </w:r>
    </w:p>
    <w:p w14:paraId="5C3C124B">
      <w:pPr>
        <w:pStyle w:val="2"/>
        <w:rPr>
          <w:rFonts w:hint="eastAsia"/>
        </w:rPr>
      </w:pPr>
      <w:r>
        <w:rPr>
          <w:rFonts w:hint="eastAsia"/>
        </w:rPr>
        <w:t xml:space="preserve">deoxycholate was initiated and later switched to voriconazole after antifungal </w:t>
      </w:r>
    </w:p>
    <w:p w14:paraId="53AB4AE9">
      <w:pPr>
        <w:pStyle w:val="2"/>
        <w:rPr>
          <w:rFonts w:hint="eastAsia"/>
        </w:rPr>
      </w:pPr>
      <w:r>
        <w:rPr>
          <w:rFonts w:hint="eastAsia"/>
        </w:rPr>
        <w:t xml:space="preserve">susceptibility testing showed reduced in vitro susceptibility to amphotericin B </w:t>
      </w:r>
    </w:p>
    <w:p w14:paraId="01643519">
      <w:pPr>
        <w:pStyle w:val="2"/>
        <w:rPr>
          <w:rFonts w:hint="eastAsia"/>
        </w:rPr>
      </w:pPr>
      <w:r>
        <w:rPr>
          <w:rFonts w:hint="eastAsia"/>
        </w:rPr>
        <w:t xml:space="preserve">and an elevated echinocandin minimum effective concentration, with preserved </w:t>
      </w:r>
    </w:p>
    <w:p w14:paraId="76F81DF2">
      <w:pPr>
        <w:pStyle w:val="2"/>
        <w:rPr>
          <w:rFonts w:hint="eastAsia"/>
        </w:rPr>
      </w:pPr>
      <w:r>
        <w:rPr>
          <w:rFonts w:hint="eastAsia"/>
        </w:rPr>
        <w:t xml:space="preserve">susceptibility to voriconazole. Additional investigations, including compatible </w:t>
      </w:r>
    </w:p>
    <w:p w14:paraId="19C2BB5F">
      <w:pPr>
        <w:pStyle w:val="2"/>
        <w:rPr>
          <w:rFonts w:hint="eastAsia"/>
        </w:rPr>
      </w:pPr>
      <w:r>
        <w:rPr>
          <w:rFonts w:hint="eastAsia"/>
        </w:rPr>
        <w:t xml:space="preserve">cross-sectional imaging findings and a positive serum galactomannan antigen </w:t>
      </w:r>
    </w:p>
    <w:p w14:paraId="50162ADB">
      <w:pPr>
        <w:pStyle w:val="2"/>
        <w:rPr>
          <w:rFonts w:hint="eastAsia"/>
        </w:rPr>
      </w:pPr>
      <w:r>
        <w:rPr>
          <w:rFonts w:hint="eastAsia"/>
        </w:rPr>
        <w:t xml:space="preserve">assay, supported presumed pulmonary and sphenoidal sinus involvement in addition </w:t>
      </w:r>
    </w:p>
    <w:p w14:paraId="7CDBB44B">
      <w:pPr>
        <w:pStyle w:val="2"/>
        <w:rPr>
          <w:rFonts w:hint="eastAsia"/>
        </w:rPr>
      </w:pPr>
      <w:r>
        <w:rPr>
          <w:rFonts w:hint="eastAsia"/>
        </w:rPr>
        <w:t xml:space="preserve">to proven vertebral disease with extension to the adjacent ribs. Evaluation of </w:t>
      </w:r>
    </w:p>
    <w:p w14:paraId="047446D3">
      <w:pPr>
        <w:pStyle w:val="2"/>
        <w:rPr>
          <w:rFonts w:hint="eastAsia"/>
        </w:rPr>
      </w:pPr>
      <w:r>
        <w:rPr>
          <w:rFonts w:hint="eastAsia"/>
        </w:rPr>
        <w:t xml:space="preserve">host immunity revealed negative HIV serology and a preserved CD4 T-lymphocyte </w:t>
      </w:r>
    </w:p>
    <w:p w14:paraId="494E80C2">
      <w:pPr>
        <w:pStyle w:val="2"/>
        <w:rPr>
          <w:rFonts w:hint="eastAsia"/>
        </w:rPr>
      </w:pPr>
      <w:r>
        <w:rPr>
          <w:rFonts w:hint="eastAsia"/>
        </w:rPr>
        <w:t xml:space="preserve">count (902 cells/µL), with no identifiable underlying risk factors. Despite </w:t>
      </w:r>
    </w:p>
    <w:p w14:paraId="5A604D36">
      <w:pPr>
        <w:pStyle w:val="2"/>
        <w:rPr>
          <w:rFonts w:hint="eastAsia"/>
        </w:rPr>
      </w:pPr>
      <w:r>
        <w:rPr>
          <w:rFonts w:hint="eastAsia"/>
        </w:rPr>
        <w:t xml:space="preserve">targeted antifungal therapy, the patient experienced progressive neurological </w:t>
      </w:r>
    </w:p>
    <w:p w14:paraId="5C135AF0">
      <w:pPr>
        <w:pStyle w:val="2"/>
        <w:rPr>
          <w:rFonts w:hint="eastAsia"/>
        </w:rPr>
      </w:pPr>
      <w:r>
        <w:rPr>
          <w:rFonts w:hint="eastAsia"/>
        </w:rPr>
        <w:t xml:space="preserve">deterioration due to spinal cord compression, requiring emergency decompressive </w:t>
      </w:r>
    </w:p>
    <w:p w14:paraId="6C41AAE4">
      <w:pPr>
        <w:pStyle w:val="2"/>
        <w:rPr>
          <w:rFonts w:hint="eastAsia"/>
        </w:rPr>
      </w:pPr>
      <w:r>
        <w:rPr>
          <w:rFonts w:hint="eastAsia"/>
        </w:rPr>
        <w:t>laminectomy. He subsequently developed postoperative septic shock and died.</w:t>
      </w:r>
    </w:p>
    <w:p w14:paraId="5007765E">
      <w:pPr>
        <w:pStyle w:val="2"/>
        <w:rPr>
          <w:rFonts w:hint="eastAsia"/>
        </w:rPr>
      </w:pPr>
      <w:r>
        <w:rPr>
          <w:rFonts w:hint="eastAsia"/>
          <w:b/>
          <w:bCs/>
        </w:rPr>
        <w:t>CONCLUSION:</w:t>
      </w:r>
      <w:r>
        <w:rPr>
          <w:rFonts w:hint="eastAsia"/>
        </w:rPr>
        <w:t xml:space="preserve"> This case underscores that invasive aspergillosis should be </w:t>
      </w:r>
    </w:p>
    <w:p w14:paraId="0A62E991">
      <w:pPr>
        <w:pStyle w:val="2"/>
        <w:rPr>
          <w:rFonts w:hint="eastAsia"/>
        </w:rPr>
      </w:pPr>
      <w:r>
        <w:rPr>
          <w:rFonts w:hint="eastAsia"/>
        </w:rPr>
        <w:t xml:space="preserve">considered in the differential diagnosis of chronic or subacute </w:t>
      </w:r>
    </w:p>
    <w:p w14:paraId="397552AB">
      <w:pPr>
        <w:pStyle w:val="2"/>
        <w:rPr>
          <w:rFonts w:hint="eastAsia"/>
        </w:rPr>
      </w:pPr>
      <w:r>
        <w:rPr>
          <w:rFonts w:hint="eastAsia"/>
        </w:rPr>
        <w:t xml:space="preserve">spondylodiscitis, even in apparently immunocompetent patients. Early diagnosis </w:t>
      </w:r>
    </w:p>
    <w:p w14:paraId="531D7412">
      <w:pPr>
        <w:pStyle w:val="2"/>
        <w:rPr>
          <w:rFonts w:hint="eastAsia"/>
        </w:rPr>
      </w:pPr>
      <w:r>
        <w:rPr>
          <w:rFonts w:hint="eastAsia"/>
        </w:rPr>
        <w:t xml:space="preserve">requires vertebral biopsy with dedicated fungal histopathology, mycological </w:t>
      </w:r>
    </w:p>
    <w:p w14:paraId="57E06169">
      <w:pPr>
        <w:pStyle w:val="2"/>
        <w:rPr>
          <w:rFonts w:hint="eastAsia"/>
        </w:rPr>
      </w:pPr>
      <w:r>
        <w:rPr>
          <w:rFonts w:hint="eastAsia"/>
        </w:rPr>
        <w:t xml:space="preserve">culture, species identification, and antifungal susceptibility testing to enable </w:t>
      </w:r>
    </w:p>
    <w:p w14:paraId="79AB55D5">
      <w:pPr>
        <w:pStyle w:val="2"/>
        <w:rPr>
          <w:rFonts w:hint="eastAsia"/>
        </w:rPr>
      </w:pPr>
      <w:r>
        <w:rPr>
          <w:rFonts w:hint="eastAsia"/>
        </w:rPr>
        <w:t>timely targeted therapy and early multidisciplinary management.</w:t>
      </w:r>
    </w:p>
    <w:p w14:paraId="757C2DF9">
      <w:pPr>
        <w:pStyle w:val="2"/>
        <w:rPr>
          <w:rFonts w:hint="eastAsia"/>
        </w:rPr>
      </w:pPr>
    </w:p>
    <w:p w14:paraId="74BC2481">
      <w:pPr>
        <w:pStyle w:val="2"/>
        <w:rPr>
          <w:rFonts w:hint="eastAsia"/>
        </w:rPr>
      </w:pPr>
      <w:r>
        <w:rPr>
          <w:rFonts w:hint="eastAsia"/>
        </w:rPr>
        <w:t>© 2026 Smaoui, Ernandes, Gassara, Limam, Beji, Ammari and Berriche.</w:t>
      </w:r>
    </w:p>
    <w:p w14:paraId="610CF2D4">
      <w:pPr>
        <w:pStyle w:val="2"/>
        <w:rPr>
          <w:rFonts w:hint="eastAsia"/>
        </w:rPr>
      </w:pPr>
    </w:p>
    <w:p w14:paraId="5C1F8610">
      <w:pPr>
        <w:pStyle w:val="2"/>
        <w:rPr>
          <w:rFonts w:hint="eastAsia"/>
        </w:rPr>
      </w:pPr>
      <w:r>
        <w:rPr>
          <w:rFonts w:hint="eastAsia"/>
        </w:rPr>
        <w:t>DOI: 10.3389/fmed.2026.1941883</w:t>
      </w:r>
    </w:p>
    <w:p w14:paraId="38540C2B">
      <w:pPr>
        <w:pStyle w:val="2"/>
        <w:rPr>
          <w:rFonts w:hint="eastAsia"/>
        </w:rPr>
      </w:pPr>
      <w:r>
        <w:rPr>
          <w:rFonts w:hint="eastAsia"/>
        </w:rPr>
        <w:t>PMCID: PMC13645614</w:t>
      </w:r>
    </w:p>
    <w:p w14:paraId="3B1586FC">
      <w:pPr>
        <w:pStyle w:val="2"/>
        <w:rPr>
          <w:rFonts w:hint="eastAsia"/>
        </w:rPr>
      </w:pPr>
      <w:r>
        <w:rPr>
          <w:rFonts w:hint="eastAsia"/>
        </w:rPr>
        <w:t>PMID: 42851473</w:t>
      </w:r>
    </w:p>
    <w:p w14:paraId="03466AC7">
      <w:pPr>
        <w:pStyle w:val="2"/>
        <w:rPr>
          <w:rFonts w:hint="eastAsia"/>
        </w:rPr>
      </w:pPr>
    </w:p>
    <w:p w14:paraId="58348484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70</w:t>
      </w:r>
      <w:r>
        <w:rPr>
          <w:rFonts w:hint="eastAsia"/>
          <w:b/>
          <w:bCs/>
          <w:color w:val="FF0000"/>
        </w:rPr>
        <w:t>. Indian J Med Res. 2026 Aug;164(4):566-573. doi: 10.25259/IJMR_3401_2025.</w:t>
      </w:r>
    </w:p>
    <w:p w14:paraId="3B6C9BB1">
      <w:pPr>
        <w:pStyle w:val="2"/>
        <w:rPr>
          <w:rFonts w:hint="eastAsia"/>
        </w:rPr>
      </w:pPr>
    </w:p>
    <w:p w14:paraId="31EC2B1F">
      <w:pPr>
        <w:pStyle w:val="2"/>
        <w:rPr>
          <w:rFonts w:hint="eastAsia"/>
        </w:rPr>
      </w:pPr>
      <w:r>
        <w:rPr>
          <w:rFonts w:hint="eastAsia"/>
        </w:rPr>
        <w:t xml:space="preserve">Effectiveness of a structured gastric aspirate training on diagnosis of </w:t>
      </w:r>
    </w:p>
    <w:p w14:paraId="35FFCF6C">
      <w:pPr>
        <w:pStyle w:val="2"/>
        <w:rPr>
          <w:rFonts w:hint="eastAsia"/>
        </w:rPr>
      </w:pPr>
      <w:r>
        <w:rPr>
          <w:rFonts w:hint="eastAsia"/>
        </w:rPr>
        <w:t>paediatric tuberculosis among healthcare workers in rural Chhattisgarh.</w:t>
      </w:r>
    </w:p>
    <w:p w14:paraId="6E95C784">
      <w:pPr>
        <w:pStyle w:val="2"/>
        <w:rPr>
          <w:rFonts w:hint="eastAsia"/>
        </w:rPr>
      </w:pPr>
    </w:p>
    <w:p w14:paraId="132C06C2">
      <w:pPr>
        <w:pStyle w:val="2"/>
        <w:rPr>
          <w:rFonts w:hint="eastAsia"/>
        </w:rPr>
      </w:pPr>
      <w:r>
        <w:rPr>
          <w:rFonts w:hint="eastAsia"/>
        </w:rPr>
        <w:t>Angadi VM(1), Kerketta F(2), Chatterjee P(2), Kumar Sinha A(3), Jindal A(1).</w:t>
      </w:r>
    </w:p>
    <w:p w14:paraId="57FABBF6">
      <w:pPr>
        <w:pStyle w:val="2"/>
        <w:rPr>
          <w:rFonts w:hint="eastAsia"/>
        </w:rPr>
      </w:pPr>
    </w:p>
    <w:p w14:paraId="470A9B35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7B914CB5">
      <w:pPr>
        <w:pStyle w:val="2"/>
        <w:rPr>
          <w:rFonts w:hint="eastAsia"/>
        </w:rPr>
      </w:pPr>
      <w:r>
        <w:rPr>
          <w:rFonts w:hint="eastAsia"/>
        </w:rPr>
        <w:t xml:space="preserve">(1)Department of Pediatrics, All India Institute of Medical Sciences, Raipur, </w:t>
      </w:r>
    </w:p>
    <w:p w14:paraId="5BD3CC8F">
      <w:pPr>
        <w:pStyle w:val="2"/>
        <w:rPr>
          <w:rFonts w:hint="eastAsia"/>
        </w:rPr>
      </w:pPr>
      <w:r>
        <w:rPr>
          <w:rFonts w:hint="eastAsia"/>
        </w:rPr>
        <w:t>Chhattisgarh, India.</w:t>
      </w:r>
    </w:p>
    <w:p w14:paraId="6F389868">
      <w:pPr>
        <w:pStyle w:val="2"/>
        <w:rPr>
          <w:rFonts w:hint="eastAsia"/>
        </w:rPr>
      </w:pPr>
      <w:r>
        <w:rPr>
          <w:rFonts w:hint="eastAsia"/>
        </w:rPr>
        <w:t xml:space="preserve">(2)State Health Resource Centre, Government of Chhattisgarh, Raipur, </w:t>
      </w:r>
    </w:p>
    <w:p w14:paraId="3082A74A">
      <w:pPr>
        <w:pStyle w:val="2"/>
        <w:rPr>
          <w:rFonts w:hint="eastAsia"/>
        </w:rPr>
      </w:pPr>
      <w:r>
        <w:rPr>
          <w:rFonts w:hint="eastAsia"/>
        </w:rPr>
        <w:t>Chhattisgarh, India.</w:t>
      </w:r>
    </w:p>
    <w:p w14:paraId="1528924D">
      <w:pPr>
        <w:pStyle w:val="2"/>
        <w:rPr>
          <w:rFonts w:hint="eastAsia"/>
        </w:rPr>
      </w:pPr>
      <w:r>
        <w:rPr>
          <w:rFonts w:hint="eastAsia"/>
        </w:rPr>
        <w:t xml:space="preserve">(3)Department of Community Medicine, Pandit Jawaharlal Nehru Memorial Medical </w:t>
      </w:r>
    </w:p>
    <w:p w14:paraId="634FE891">
      <w:pPr>
        <w:pStyle w:val="2"/>
        <w:rPr>
          <w:rFonts w:hint="eastAsia"/>
        </w:rPr>
      </w:pPr>
      <w:r>
        <w:rPr>
          <w:rFonts w:hint="eastAsia"/>
        </w:rPr>
        <w:t>College, Raipur, Chhattisgarh, India.</w:t>
      </w:r>
    </w:p>
    <w:p w14:paraId="312BE40A">
      <w:pPr>
        <w:pStyle w:val="2"/>
        <w:rPr>
          <w:rFonts w:hint="eastAsia"/>
        </w:rPr>
      </w:pPr>
    </w:p>
    <w:p w14:paraId="415EC004">
      <w:pPr>
        <w:pStyle w:val="2"/>
        <w:rPr>
          <w:rFonts w:hint="eastAsia"/>
        </w:rPr>
      </w:pPr>
      <w:r>
        <w:rPr>
          <w:rFonts w:hint="eastAsia"/>
          <w:b/>
          <w:bCs/>
        </w:rPr>
        <w:t>Background and objectives</w:t>
      </w:r>
      <w:r>
        <w:rPr>
          <w:rFonts w:hint="eastAsia"/>
        </w:rPr>
        <w:t xml:space="preserve"> Childhood tuberculosis remains underdiagnosed in </w:t>
      </w:r>
    </w:p>
    <w:p w14:paraId="6733B378">
      <w:pPr>
        <w:pStyle w:val="2"/>
        <w:rPr>
          <w:rFonts w:hint="eastAsia"/>
        </w:rPr>
      </w:pPr>
      <w:r>
        <w:rPr>
          <w:rFonts w:hint="eastAsia"/>
        </w:rPr>
        <w:t xml:space="preserve">India. Although gastric aspiration is recommended to improve microbiological </w:t>
      </w:r>
    </w:p>
    <w:p w14:paraId="355F857B">
      <w:pPr>
        <w:pStyle w:val="2"/>
        <w:rPr>
          <w:rFonts w:hint="eastAsia"/>
        </w:rPr>
      </w:pPr>
      <w:r>
        <w:rPr>
          <w:rFonts w:hint="eastAsia"/>
        </w:rPr>
        <w:t xml:space="preserve">confirmation, its use at lower-tier health facilities is limited by training, </w:t>
      </w:r>
    </w:p>
    <w:p w14:paraId="400686D0">
      <w:pPr>
        <w:pStyle w:val="2"/>
        <w:rPr>
          <w:rFonts w:hint="eastAsia"/>
        </w:rPr>
      </w:pPr>
      <w:r>
        <w:rPr>
          <w:rFonts w:hint="eastAsia"/>
        </w:rPr>
        <w:t xml:space="preserve">infrastructural, and logistical constraints. This study evaluated whether a </w:t>
      </w:r>
    </w:p>
    <w:p w14:paraId="0DDD7548">
      <w:pPr>
        <w:pStyle w:val="2"/>
        <w:rPr>
          <w:rFonts w:hint="eastAsia"/>
        </w:rPr>
      </w:pPr>
      <w:r>
        <w:rPr>
          <w:rFonts w:hint="eastAsia"/>
        </w:rPr>
        <w:t xml:space="preserve">structured, training-focused implementation strategy could integrate gastric </w:t>
      </w:r>
    </w:p>
    <w:p w14:paraId="2A06E7B5">
      <w:pPr>
        <w:pStyle w:val="2"/>
        <w:rPr>
          <w:rFonts w:hint="eastAsia"/>
        </w:rPr>
      </w:pPr>
      <w:r>
        <w:rPr>
          <w:rFonts w:hint="eastAsia"/>
        </w:rPr>
        <w:t xml:space="preserve">aspiration into routine paediatric TB diagnostic workflows at primary and </w:t>
      </w:r>
    </w:p>
    <w:p w14:paraId="0B51940E">
      <w:pPr>
        <w:pStyle w:val="2"/>
        <w:rPr>
          <w:rFonts w:hint="eastAsia"/>
        </w:rPr>
      </w:pPr>
      <w:r>
        <w:rPr>
          <w:rFonts w:hint="eastAsia"/>
        </w:rPr>
        <w:t xml:space="preserve">community health settings, and assessed its feasibility, acceptance, uptake, and </w:t>
      </w:r>
    </w:p>
    <w:p w14:paraId="69A8A532">
      <w:pPr>
        <w:pStyle w:val="2"/>
        <w:rPr>
          <w:rFonts w:hint="eastAsia"/>
        </w:rPr>
      </w:pPr>
      <w:r>
        <w:rPr>
          <w:rFonts w:hint="eastAsia"/>
        </w:rPr>
        <w:t>diagnostic yiel</w:t>
      </w:r>
      <w:r>
        <w:rPr>
          <w:rFonts w:hint="eastAsia"/>
          <w:b/>
          <w:bCs/>
        </w:rPr>
        <w:t xml:space="preserve">d. Methods </w:t>
      </w:r>
      <w:r>
        <w:rPr>
          <w:rFonts w:hint="eastAsia"/>
        </w:rPr>
        <w:t xml:space="preserve">We conducted a mixed-methods controlled </w:t>
      </w:r>
    </w:p>
    <w:p w14:paraId="4BD8DB8E">
      <w:pPr>
        <w:pStyle w:val="2"/>
        <w:rPr>
          <w:rFonts w:hint="eastAsia"/>
        </w:rPr>
      </w:pPr>
      <w:r>
        <w:rPr>
          <w:rFonts w:hint="eastAsia"/>
        </w:rPr>
        <w:t xml:space="preserve">before-and-after implementation study in Rajnandgaon district, Chhattisgarh, </w:t>
      </w:r>
    </w:p>
    <w:p w14:paraId="7A859E9C">
      <w:pPr>
        <w:pStyle w:val="2"/>
        <w:rPr>
          <w:rFonts w:hint="eastAsia"/>
        </w:rPr>
      </w:pPr>
      <w:r>
        <w:rPr>
          <w:rFonts w:hint="eastAsia"/>
        </w:rPr>
        <w:t xml:space="preserve">involving training of healthcare providers across 39 primary health centres and </w:t>
      </w:r>
    </w:p>
    <w:p w14:paraId="5AB25FCA">
      <w:pPr>
        <w:pStyle w:val="2"/>
        <w:rPr>
          <w:rFonts w:hint="eastAsia"/>
        </w:rPr>
      </w:pPr>
      <w:r>
        <w:rPr>
          <w:rFonts w:hint="eastAsia"/>
        </w:rPr>
        <w:t xml:space="preserve">10 community health centres. The intervention included hands-on training, </w:t>
      </w:r>
    </w:p>
    <w:p w14:paraId="0C54F90C">
      <w:pPr>
        <w:pStyle w:val="2"/>
        <w:rPr>
          <w:rFonts w:hint="eastAsia"/>
        </w:rPr>
      </w:pPr>
      <w:r>
        <w:rPr>
          <w:rFonts w:hint="eastAsia"/>
        </w:rPr>
        <w:t xml:space="preserve">procedural standardisation, mentorship, limited logistical support and community </w:t>
      </w:r>
    </w:p>
    <w:p w14:paraId="7081E230">
      <w:pPr>
        <w:pStyle w:val="2"/>
        <w:rPr>
          <w:rFonts w:hint="eastAsia"/>
        </w:rPr>
      </w:pPr>
      <w:r>
        <w:rPr>
          <w:rFonts w:hint="eastAsia"/>
        </w:rPr>
        <w:t xml:space="preserve">engagement, guided by the consolidated framework for implementation research. </w:t>
      </w:r>
    </w:p>
    <w:p w14:paraId="193C8E3D">
      <w:pPr>
        <w:pStyle w:val="2"/>
        <w:rPr>
          <w:rFonts w:hint="eastAsia"/>
        </w:rPr>
      </w:pPr>
      <w:r>
        <w:rPr>
          <w:rFonts w:hint="eastAsia"/>
        </w:rPr>
        <w:t xml:space="preserve">Outcomes assessed included procedural uptake, caregiver acceptance, diagnostic </w:t>
      </w:r>
    </w:p>
    <w:p w14:paraId="43B30EAD">
      <w:pPr>
        <w:pStyle w:val="2"/>
        <w:rPr>
          <w:rFonts w:hint="eastAsia"/>
        </w:rPr>
      </w:pPr>
      <w:r>
        <w:rPr>
          <w:rFonts w:hint="eastAsia"/>
        </w:rPr>
        <w:t xml:space="preserve">yield, and contextual factors influencing implementation. </w:t>
      </w:r>
      <w:r>
        <w:rPr>
          <w:rFonts w:hint="eastAsia"/>
          <w:b/>
          <w:bCs/>
        </w:rPr>
        <w:t xml:space="preserve">Results </w:t>
      </w:r>
      <w:r>
        <w:rPr>
          <w:rFonts w:hint="eastAsia"/>
        </w:rPr>
        <w:t xml:space="preserve">Of 652 </w:t>
      </w:r>
    </w:p>
    <w:p w14:paraId="09425AF9">
      <w:pPr>
        <w:pStyle w:val="2"/>
        <w:rPr>
          <w:rFonts w:hint="eastAsia"/>
        </w:rPr>
      </w:pPr>
      <w:r>
        <w:rPr>
          <w:rFonts w:hint="eastAsia"/>
        </w:rPr>
        <w:t xml:space="preserve">eligible children with presumptive TB, 567 (87%) underwent gastric aspiration, </w:t>
      </w:r>
    </w:p>
    <w:p w14:paraId="31F2532C">
      <w:pPr>
        <w:pStyle w:val="2"/>
        <w:rPr>
          <w:rFonts w:hint="eastAsia"/>
        </w:rPr>
      </w:pPr>
      <w:r>
        <w:rPr>
          <w:rFonts w:hint="eastAsia"/>
        </w:rPr>
        <w:t xml:space="preserve">versus 18 pre-intervention, indicating a marked increase in uptake. Most samples </w:t>
      </w:r>
    </w:p>
    <w:p w14:paraId="04818C14">
      <w:pPr>
        <w:pStyle w:val="2"/>
        <w:rPr>
          <w:rFonts w:hint="eastAsia"/>
        </w:rPr>
      </w:pPr>
      <w:r>
        <w:rPr>
          <w:rFonts w:hint="eastAsia"/>
        </w:rPr>
        <w:t xml:space="preserve">(75%) were collected at peripheral facilities, reflecting decentralisation of </w:t>
      </w:r>
    </w:p>
    <w:p w14:paraId="6CF7EC4A">
      <w:pPr>
        <w:pStyle w:val="2"/>
        <w:rPr>
          <w:rFonts w:hint="eastAsia"/>
        </w:rPr>
      </w:pPr>
      <w:r>
        <w:rPr>
          <w:rFonts w:hint="eastAsia"/>
        </w:rPr>
        <w:t xml:space="preserve">the procedure. However, microbiological confirmation was low, with a cartridge </w:t>
      </w:r>
    </w:p>
    <w:p w14:paraId="1A09A1B2">
      <w:pPr>
        <w:pStyle w:val="2"/>
        <w:rPr>
          <w:rFonts w:hint="eastAsia"/>
        </w:rPr>
      </w:pPr>
      <w:r>
        <w:rPr>
          <w:rFonts w:hint="eastAsia"/>
        </w:rPr>
        <w:t xml:space="preserve">based nucleic acid amplification test (CBNAAT) positivity rate of 0.9%. Quality </w:t>
      </w:r>
    </w:p>
    <w:p w14:paraId="1B23B1D2">
      <w:pPr>
        <w:pStyle w:val="2"/>
        <w:rPr>
          <w:rFonts w:hint="eastAsia"/>
        </w:rPr>
      </w:pPr>
      <w:r>
        <w:rPr>
          <w:rFonts w:hint="eastAsia"/>
        </w:rPr>
        <w:t xml:space="preserve">audits identified persistent operational challenges, including suboptimal </w:t>
      </w:r>
    </w:p>
    <w:p w14:paraId="71FCE636">
      <w:pPr>
        <w:pStyle w:val="2"/>
        <w:rPr>
          <w:rFonts w:hint="eastAsia"/>
        </w:rPr>
      </w:pPr>
      <w:r>
        <w:rPr>
          <w:rFonts w:hint="eastAsia"/>
        </w:rPr>
        <w:t xml:space="preserve">cold-chain maintenance, delayed specimen transport, inadequate sample volume, </w:t>
      </w:r>
    </w:p>
    <w:p w14:paraId="1EC9DDBA">
      <w:pPr>
        <w:pStyle w:val="2"/>
        <w:rPr>
          <w:rFonts w:hint="eastAsia"/>
        </w:rPr>
      </w:pPr>
      <w:r>
        <w:rPr>
          <w:rFonts w:hint="eastAsia"/>
        </w:rPr>
        <w:t xml:space="preserve">and variable staff sensitisation, which likely contributed to the low diagnostic </w:t>
      </w:r>
    </w:p>
    <w:p w14:paraId="1067822A">
      <w:pPr>
        <w:pStyle w:val="2"/>
        <w:rPr>
          <w:rFonts w:hint="eastAsia"/>
        </w:rPr>
      </w:pPr>
      <w:r>
        <w:rPr>
          <w:rFonts w:hint="eastAsia"/>
        </w:rPr>
        <w:t xml:space="preserve">yield. </w:t>
      </w:r>
      <w:r>
        <w:rPr>
          <w:rFonts w:hint="eastAsia"/>
          <w:b/>
          <w:bCs/>
        </w:rPr>
        <w:t>Interpretation and conclusions</w:t>
      </w:r>
      <w:r>
        <w:rPr>
          <w:rFonts w:hint="eastAsia"/>
        </w:rPr>
        <w:t xml:space="preserve"> A structured training and implementation </w:t>
      </w:r>
    </w:p>
    <w:p w14:paraId="77164745">
      <w:pPr>
        <w:pStyle w:val="2"/>
        <w:rPr>
          <w:rFonts w:hint="eastAsia"/>
        </w:rPr>
      </w:pPr>
      <w:r>
        <w:rPr>
          <w:rFonts w:hint="eastAsia"/>
        </w:rPr>
        <w:t xml:space="preserve">approach enabled integration of gastric aspiration into routine practice at </w:t>
      </w:r>
    </w:p>
    <w:p w14:paraId="5229587E">
      <w:pPr>
        <w:pStyle w:val="2"/>
        <w:rPr>
          <w:rFonts w:hint="eastAsia"/>
        </w:rPr>
      </w:pPr>
      <w:r>
        <w:rPr>
          <w:rFonts w:hint="eastAsia"/>
        </w:rPr>
        <w:t xml:space="preserve">peripheral health facilities with high uptake and acceptance. However, low </w:t>
      </w:r>
    </w:p>
    <w:p w14:paraId="225A499F">
      <w:pPr>
        <w:pStyle w:val="2"/>
        <w:rPr>
          <w:rFonts w:hint="eastAsia"/>
        </w:rPr>
      </w:pPr>
      <w:r>
        <w:rPr>
          <w:rFonts w:hint="eastAsia"/>
        </w:rPr>
        <w:t xml:space="preserve">microbiological yield highlights substantial pre-analytical and system-level </w:t>
      </w:r>
    </w:p>
    <w:p w14:paraId="45C20629">
      <w:pPr>
        <w:pStyle w:val="2"/>
        <w:rPr>
          <w:rFonts w:hint="eastAsia"/>
        </w:rPr>
      </w:pPr>
      <w:r>
        <w:rPr>
          <w:rFonts w:hint="eastAsia"/>
        </w:rPr>
        <w:t>constraints that limited diagnostic effectiveness.</w:t>
      </w:r>
    </w:p>
    <w:p w14:paraId="052E5E53">
      <w:pPr>
        <w:pStyle w:val="2"/>
        <w:rPr>
          <w:rFonts w:hint="eastAsia"/>
        </w:rPr>
      </w:pPr>
    </w:p>
    <w:p w14:paraId="465A9AF0">
      <w:pPr>
        <w:pStyle w:val="2"/>
        <w:rPr>
          <w:rFonts w:hint="eastAsia"/>
        </w:rPr>
      </w:pPr>
      <w:r>
        <w:rPr>
          <w:rFonts w:hint="eastAsia"/>
        </w:rPr>
        <w:t>DOI: 10.25259/IJMR_3401_2025</w:t>
      </w:r>
    </w:p>
    <w:p w14:paraId="042C506F">
      <w:pPr>
        <w:pStyle w:val="2"/>
        <w:rPr>
          <w:rFonts w:hint="eastAsia"/>
        </w:rPr>
      </w:pPr>
      <w:r>
        <w:rPr>
          <w:rFonts w:hint="eastAsia"/>
        </w:rPr>
        <w:t>PMCID: PMC13650877</w:t>
      </w:r>
    </w:p>
    <w:p w14:paraId="7454DE55">
      <w:pPr>
        <w:pStyle w:val="2"/>
        <w:rPr>
          <w:rFonts w:hint="eastAsia"/>
        </w:rPr>
      </w:pPr>
      <w:r>
        <w:rPr>
          <w:rFonts w:hint="eastAsia"/>
        </w:rPr>
        <w:t>PMID: 42851225 [Indexed for MEDLINE]</w:t>
      </w:r>
    </w:p>
    <w:p w14:paraId="67F8552F">
      <w:pPr>
        <w:pStyle w:val="2"/>
        <w:rPr>
          <w:rFonts w:hint="eastAsia"/>
        </w:rPr>
      </w:pPr>
    </w:p>
    <w:p w14:paraId="3A1CAF84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71</w:t>
      </w:r>
      <w:r>
        <w:rPr>
          <w:rFonts w:hint="eastAsia"/>
          <w:b/>
          <w:bCs/>
          <w:color w:val="FF0000"/>
        </w:rPr>
        <w:t>. Nucleic Acids Res. 2026 Sep 22;54(18):gkag973. doi: 10.1093/nar/gkag973.</w:t>
      </w:r>
    </w:p>
    <w:p w14:paraId="618F76E9">
      <w:pPr>
        <w:pStyle w:val="2"/>
        <w:rPr>
          <w:rFonts w:hint="eastAsia"/>
        </w:rPr>
      </w:pPr>
    </w:p>
    <w:p w14:paraId="68771B53">
      <w:pPr>
        <w:pStyle w:val="2"/>
        <w:rPr>
          <w:rFonts w:hint="eastAsia"/>
        </w:rPr>
      </w:pPr>
      <w:r>
        <w:rPr>
          <w:rFonts w:hint="eastAsia"/>
        </w:rPr>
        <w:t xml:space="preserve">An intrinsically disordered domain of transcription terminator Rho governs </w:t>
      </w:r>
    </w:p>
    <w:p w14:paraId="4943D89B">
      <w:pPr>
        <w:pStyle w:val="2"/>
        <w:rPr>
          <w:rFonts w:hint="eastAsia"/>
        </w:rPr>
      </w:pPr>
      <w:r>
        <w:rPr>
          <w:rFonts w:hint="eastAsia"/>
        </w:rPr>
        <w:t>genome-wide Rho utilization (Rut) site selection in Mycobacterium tuberculosis.</w:t>
      </w:r>
    </w:p>
    <w:p w14:paraId="1F4C9275">
      <w:pPr>
        <w:pStyle w:val="2"/>
        <w:rPr>
          <w:rFonts w:hint="eastAsia"/>
        </w:rPr>
      </w:pPr>
    </w:p>
    <w:p w14:paraId="4752626B">
      <w:pPr>
        <w:pStyle w:val="2"/>
        <w:rPr>
          <w:rFonts w:hint="eastAsia"/>
        </w:rPr>
      </w:pPr>
      <w:r>
        <w:rPr>
          <w:rFonts w:hint="eastAsia"/>
        </w:rPr>
        <w:t xml:space="preserve">Do TD(1)(2), Pino Peco G(3), Eveno E(1), Saint-André C(4), Delaleau M(1), Coste </w:t>
      </w:r>
    </w:p>
    <w:p w14:paraId="4742A1A3">
      <w:pPr>
        <w:pStyle w:val="2"/>
        <w:rPr>
          <w:rFonts w:hint="eastAsia"/>
        </w:rPr>
      </w:pPr>
      <w:r>
        <w:rPr>
          <w:rFonts w:hint="eastAsia"/>
        </w:rPr>
        <w:t xml:space="preserve">F(1), Meudal H(1), Loth K(1)(2)(5), Weixlbaumer A(4), Brodolin K(3), Boudvillain </w:t>
      </w:r>
    </w:p>
    <w:p w14:paraId="6DB3A0F0">
      <w:pPr>
        <w:pStyle w:val="2"/>
        <w:rPr>
          <w:rFonts w:hint="eastAsia"/>
        </w:rPr>
      </w:pPr>
      <w:r>
        <w:rPr>
          <w:rFonts w:hint="eastAsia"/>
        </w:rPr>
        <w:t>M(1)(2).</w:t>
      </w:r>
    </w:p>
    <w:p w14:paraId="3ED77C72">
      <w:pPr>
        <w:pStyle w:val="2"/>
        <w:rPr>
          <w:rFonts w:hint="eastAsia"/>
        </w:rPr>
      </w:pPr>
    </w:p>
    <w:p w14:paraId="7E3890A4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3010E6CE">
      <w:pPr>
        <w:pStyle w:val="2"/>
        <w:rPr>
          <w:rFonts w:hint="eastAsia"/>
        </w:rPr>
      </w:pPr>
      <w:r>
        <w:rPr>
          <w:rFonts w:hint="eastAsia"/>
        </w:rPr>
        <w:t xml:space="preserve">(1)Centre de Biophysique Moléculaire (CBM), CNRS UPR 4301, Orléans, affiliated </w:t>
      </w:r>
    </w:p>
    <w:p w14:paraId="1FC2BF7C">
      <w:pPr>
        <w:pStyle w:val="2"/>
        <w:rPr>
          <w:rFonts w:hint="eastAsia"/>
        </w:rPr>
      </w:pPr>
      <w:r>
        <w:rPr>
          <w:rFonts w:hint="eastAsia"/>
        </w:rPr>
        <w:t>with Université d'Orléans, rue Charles Sadron, 45071 Orléans cedex 2, France.</w:t>
      </w:r>
    </w:p>
    <w:p w14:paraId="5A2CB2EF">
      <w:pPr>
        <w:pStyle w:val="2"/>
        <w:rPr>
          <w:rFonts w:hint="eastAsia"/>
        </w:rPr>
      </w:pPr>
      <w:r>
        <w:rPr>
          <w:rFonts w:hint="eastAsia"/>
        </w:rPr>
        <w:t xml:space="preserve">(2)ED 549, Sciences Biologiques &amp; Chimie du Vivant, Université d'Orléans, 450067 </w:t>
      </w:r>
    </w:p>
    <w:p w14:paraId="3BFAF261">
      <w:pPr>
        <w:pStyle w:val="2"/>
        <w:rPr>
          <w:rFonts w:hint="eastAsia"/>
        </w:rPr>
      </w:pPr>
      <w:r>
        <w:rPr>
          <w:rFonts w:hint="eastAsia"/>
        </w:rPr>
        <w:t>Orléans Cedex 2,France.</w:t>
      </w:r>
    </w:p>
    <w:p w14:paraId="7BFA14E6">
      <w:pPr>
        <w:pStyle w:val="2"/>
        <w:rPr>
          <w:rFonts w:hint="eastAsia"/>
        </w:rPr>
      </w:pPr>
      <w:r>
        <w:rPr>
          <w:rFonts w:hint="eastAsia"/>
        </w:rPr>
        <w:t xml:space="preserve">(3)Institut de Recherche en Infectiologie de Montpellier (IRIM), Université de </w:t>
      </w:r>
    </w:p>
    <w:p w14:paraId="21B7A92A">
      <w:pPr>
        <w:pStyle w:val="2"/>
        <w:rPr>
          <w:rFonts w:hint="eastAsia"/>
        </w:rPr>
      </w:pPr>
      <w:r>
        <w:rPr>
          <w:rFonts w:hint="eastAsia"/>
        </w:rPr>
        <w:t>Montpellier, CNRS, 34293 Montpellier Cedex 5,France.</w:t>
      </w:r>
    </w:p>
    <w:p w14:paraId="2C9295B8">
      <w:pPr>
        <w:pStyle w:val="2"/>
        <w:rPr>
          <w:rFonts w:hint="eastAsia"/>
        </w:rPr>
      </w:pPr>
      <w:r>
        <w:rPr>
          <w:rFonts w:hint="eastAsia"/>
        </w:rPr>
        <w:t xml:space="preserve">(4)Institut de Génétique et de Biologie Moléculaire et Cellulaire (IGBMC), CNRS </w:t>
      </w:r>
    </w:p>
    <w:p w14:paraId="0A83F98D">
      <w:pPr>
        <w:pStyle w:val="2"/>
        <w:rPr>
          <w:rFonts w:hint="eastAsia"/>
        </w:rPr>
      </w:pPr>
      <w:r>
        <w:rPr>
          <w:rFonts w:hint="eastAsia"/>
        </w:rPr>
        <w:t>UMR 7104, Inserm U 1258, Université de Strasbourg, 67404 Illkirch Cedex, France.</w:t>
      </w:r>
    </w:p>
    <w:p w14:paraId="1DE09B04">
      <w:pPr>
        <w:pStyle w:val="2"/>
        <w:rPr>
          <w:rFonts w:hint="eastAsia"/>
        </w:rPr>
      </w:pPr>
      <w:r>
        <w:rPr>
          <w:rFonts w:hint="eastAsia"/>
        </w:rPr>
        <w:t xml:space="preserve">(5)UFR Sciences et Technique, Université d'Orléans, 1 rue de Chartres, 450067 </w:t>
      </w:r>
    </w:p>
    <w:p w14:paraId="390996BA">
      <w:pPr>
        <w:pStyle w:val="2"/>
        <w:rPr>
          <w:rFonts w:hint="eastAsia"/>
        </w:rPr>
      </w:pPr>
      <w:r>
        <w:rPr>
          <w:rFonts w:hint="eastAsia"/>
        </w:rPr>
        <w:t>Orléans Cedex 2, France.</w:t>
      </w:r>
    </w:p>
    <w:p w14:paraId="2006CA76">
      <w:pPr>
        <w:pStyle w:val="2"/>
        <w:rPr>
          <w:rFonts w:hint="eastAsia"/>
        </w:rPr>
      </w:pPr>
    </w:p>
    <w:p w14:paraId="24161D0C">
      <w:pPr>
        <w:pStyle w:val="2"/>
        <w:rPr>
          <w:rFonts w:hint="eastAsia"/>
        </w:rPr>
      </w:pPr>
      <w:r>
        <w:rPr>
          <w:rFonts w:hint="eastAsia"/>
        </w:rPr>
        <w:t xml:space="preserve">Rho-dependent transcription termination (RDTT) is crucial for bacterial gene </w:t>
      </w:r>
    </w:p>
    <w:p w14:paraId="27A75081">
      <w:pPr>
        <w:pStyle w:val="2"/>
        <w:rPr>
          <w:rFonts w:hint="eastAsia"/>
        </w:rPr>
      </w:pPr>
      <w:r>
        <w:rPr>
          <w:rFonts w:hint="eastAsia"/>
        </w:rPr>
        <w:t xml:space="preserve">regulation, fitness, and pathogenicity. RDTT relies on the ATP-dependent Rho </w:t>
      </w:r>
    </w:p>
    <w:p w14:paraId="4085D545">
      <w:pPr>
        <w:pStyle w:val="2"/>
        <w:rPr>
          <w:rFonts w:hint="eastAsia"/>
        </w:rPr>
      </w:pPr>
      <w:r>
        <w:rPr>
          <w:rFonts w:hint="eastAsia"/>
        </w:rPr>
        <w:t xml:space="preserve">helicase, which engages nascent transcripts at loosely defined, C &gt; G-biased Rho </w:t>
      </w:r>
    </w:p>
    <w:p w14:paraId="52D3295A">
      <w:pPr>
        <w:pStyle w:val="2"/>
        <w:rPr>
          <w:rFonts w:hint="eastAsia"/>
        </w:rPr>
      </w:pPr>
      <w:r>
        <w:rPr>
          <w:rFonts w:hint="eastAsia"/>
        </w:rPr>
        <w:t xml:space="preserve">utilization (Rut) sites to dismantle transcription complexes. In Mycobacterium </w:t>
      </w:r>
    </w:p>
    <w:p w14:paraId="5AADE0E9">
      <w:pPr>
        <w:pStyle w:val="2"/>
        <w:rPr>
          <w:rFonts w:hint="eastAsia"/>
        </w:rPr>
      </w:pPr>
      <w:r>
        <w:rPr>
          <w:rFonts w:hint="eastAsia"/>
        </w:rPr>
        <w:t xml:space="preserve">tuberculosis, Rho features a unique, large N-terminal insertion domain (NID) of </w:t>
      </w:r>
    </w:p>
    <w:p w14:paraId="41FA238A">
      <w:pPr>
        <w:pStyle w:val="2"/>
        <w:rPr>
          <w:rFonts w:hint="eastAsia"/>
        </w:rPr>
      </w:pPr>
      <w:r>
        <w:rPr>
          <w:rFonts w:hint="eastAsia"/>
        </w:rPr>
        <w:t xml:space="preserve">uncertain function. Using enzymatic Helicase-SELEX screening, we identified 1759 </w:t>
      </w:r>
    </w:p>
    <w:p w14:paraId="5144FA57">
      <w:pPr>
        <w:pStyle w:val="2"/>
        <w:rPr>
          <w:rFonts w:hint="eastAsia"/>
        </w:rPr>
      </w:pPr>
      <w:r>
        <w:rPr>
          <w:rFonts w:hint="eastAsia"/>
        </w:rPr>
        <w:t xml:space="preserve">putative Rut sites across the M. tuberculosis genome with wild-type Rho (MtbRho) </w:t>
      </w:r>
    </w:p>
    <w:p w14:paraId="63356E8F">
      <w:pPr>
        <w:pStyle w:val="2"/>
        <w:rPr>
          <w:rFonts w:hint="eastAsia"/>
        </w:rPr>
      </w:pPr>
      <w:r>
        <w:rPr>
          <w:rFonts w:hint="eastAsia"/>
        </w:rPr>
        <w:t xml:space="preserve">but only 47 with a NID-deleted variant (ΔNID-MtbRho), demonstrating NID's </w:t>
      </w:r>
    </w:p>
    <w:p w14:paraId="58B6ECE9">
      <w:pPr>
        <w:pStyle w:val="2"/>
        <w:rPr>
          <w:rFonts w:hint="eastAsia"/>
        </w:rPr>
      </w:pPr>
      <w:r>
        <w:rPr>
          <w:rFonts w:hint="eastAsia"/>
        </w:rPr>
        <w:t xml:space="preserve">importance for productive substrate recruitment. The selected Rut sites display </w:t>
      </w:r>
    </w:p>
    <w:p w14:paraId="72E9FB45">
      <w:pPr>
        <w:pStyle w:val="2"/>
        <w:rPr>
          <w:rFonts w:hint="eastAsia"/>
        </w:rPr>
      </w:pPr>
      <w:r>
        <w:rPr>
          <w:rFonts w:hint="eastAsia"/>
        </w:rPr>
        <w:t xml:space="preserve">an unusual composition and frequently occur upstream of or within coding </w:t>
      </w:r>
    </w:p>
    <w:p w14:paraId="66F817F9">
      <w:pPr>
        <w:pStyle w:val="2"/>
        <w:rPr>
          <w:rFonts w:hint="eastAsia"/>
        </w:rPr>
      </w:pPr>
      <w:r>
        <w:rPr>
          <w:rFonts w:hint="eastAsia"/>
        </w:rPr>
        <w:t xml:space="preserve">regions, implying that MtbRho plays a broad role in conditional gene regulation. </w:t>
      </w:r>
    </w:p>
    <w:p w14:paraId="3A64BC30">
      <w:pPr>
        <w:pStyle w:val="2"/>
        <w:rPr>
          <w:rFonts w:hint="eastAsia"/>
        </w:rPr>
      </w:pPr>
      <w:r>
        <w:rPr>
          <w:rFonts w:hint="eastAsia"/>
        </w:rPr>
        <w:t xml:space="preserve">Integration with transcriptomics-defined RNA 3' ends further highlights the </w:t>
      </w:r>
    </w:p>
    <w:p w14:paraId="4AAB37E9">
      <w:pPr>
        <w:pStyle w:val="2"/>
        <w:rPr>
          <w:rFonts w:hint="eastAsia"/>
        </w:rPr>
      </w:pPr>
      <w:r>
        <w:rPr>
          <w:rFonts w:hint="eastAsia"/>
        </w:rPr>
        <w:t xml:space="preserve">contribution of MtbRho to transcriptional plasticity, through both direct </w:t>
      </w:r>
    </w:p>
    <w:p w14:paraId="51C1C8B2">
      <w:pPr>
        <w:pStyle w:val="2"/>
        <w:rPr>
          <w:rFonts w:hint="eastAsia"/>
        </w:rPr>
      </w:pPr>
      <w:r>
        <w:rPr>
          <w:rFonts w:hint="eastAsia"/>
        </w:rPr>
        <w:t xml:space="preserve">termination and downstream regulatory cascades. Complementary RDTT assays, </w:t>
      </w:r>
    </w:p>
    <w:p w14:paraId="6AEE3529">
      <w:pPr>
        <w:pStyle w:val="2"/>
        <w:rPr>
          <w:rFonts w:hint="eastAsia"/>
        </w:rPr>
      </w:pPr>
      <w:r>
        <w:rPr>
          <w:rFonts w:hint="eastAsia"/>
        </w:rPr>
        <w:t xml:space="preserve">affinity measurements, solution NMR, and cryogenic electron microscopy analyses </w:t>
      </w:r>
    </w:p>
    <w:p w14:paraId="17FACC59">
      <w:pPr>
        <w:pStyle w:val="2"/>
        <w:rPr>
          <w:rFonts w:hint="eastAsia"/>
        </w:rPr>
      </w:pPr>
      <w:r>
        <w:rPr>
          <w:rFonts w:hint="eastAsia"/>
        </w:rPr>
        <w:t xml:space="preserve">show that the NID is intrinsically disordered, yet critical for engaging Rut </w:t>
      </w:r>
    </w:p>
    <w:p w14:paraId="3E944CEF">
      <w:pPr>
        <w:pStyle w:val="2"/>
        <w:rPr>
          <w:rFonts w:hint="eastAsia"/>
        </w:rPr>
      </w:pPr>
      <w:r>
        <w:rPr>
          <w:rFonts w:hint="eastAsia"/>
        </w:rPr>
        <w:t xml:space="preserve">sites with substantial secondary structure. Altogether, our findings provide the </w:t>
      </w:r>
    </w:p>
    <w:p w14:paraId="0E26D5A6">
      <w:pPr>
        <w:pStyle w:val="2"/>
        <w:rPr>
          <w:rFonts w:hint="eastAsia"/>
        </w:rPr>
      </w:pPr>
      <w:r>
        <w:rPr>
          <w:rFonts w:hint="eastAsia"/>
        </w:rPr>
        <w:t xml:space="preserve">first genome-wide map and characterization of Rut sites in a GC-rich pathogen </w:t>
      </w:r>
    </w:p>
    <w:p w14:paraId="0A1A92A7">
      <w:pPr>
        <w:pStyle w:val="2"/>
        <w:rPr>
          <w:rFonts w:hint="eastAsia"/>
        </w:rPr>
      </w:pPr>
      <w:r>
        <w:rPr>
          <w:rFonts w:hint="eastAsia"/>
        </w:rPr>
        <w:t xml:space="preserve">and define the NID as a model intrinsically disordered protein region with a </w:t>
      </w:r>
    </w:p>
    <w:p w14:paraId="612258BE">
      <w:pPr>
        <w:pStyle w:val="2"/>
        <w:rPr>
          <w:rFonts w:hint="eastAsia"/>
        </w:rPr>
      </w:pPr>
      <w:r>
        <w:rPr>
          <w:rFonts w:hint="eastAsia"/>
        </w:rPr>
        <w:t>critical mechanistic and functional role in mycobacterial gene expression.</w:t>
      </w:r>
    </w:p>
    <w:p w14:paraId="6825D82D">
      <w:pPr>
        <w:pStyle w:val="2"/>
        <w:rPr>
          <w:rFonts w:hint="eastAsia"/>
        </w:rPr>
      </w:pPr>
    </w:p>
    <w:p w14:paraId="1B2999E3">
      <w:pPr>
        <w:pStyle w:val="2"/>
        <w:rPr>
          <w:rFonts w:hint="eastAsia"/>
        </w:rPr>
      </w:pPr>
      <w:r>
        <w:rPr>
          <w:rFonts w:hint="eastAsia"/>
        </w:rPr>
        <w:t>© The Author(s) 2026. Published by Oxford University Press.</w:t>
      </w:r>
    </w:p>
    <w:p w14:paraId="36B194E2">
      <w:pPr>
        <w:pStyle w:val="2"/>
        <w:rPr>
          <w:rFonts w:hint="eastAsia"/>
        </w:rPr>
      </w:pPr>
    </w:p>
    <w:p w14:paraId="3F21245D">
      <w:pPr>
        <w:pStyle w:val="2"/>
        <w:rPr>
          <w:rFonts w:hint="eastAsia"/>
        </w:rPr>
      </w:pPr>
      <w:r>
        <w:rPr>
          <w:rFonts w:hint="eastAsia"/>
        </w:rPr>
        <w:t>DOI: 10.1093/nar/gkag973</w:t>
      </w:r>
    </w:p>
    <w:p w14:paraId="353395EC">
      <w:pPr>
        <w:pStyle w:val="2"/>
        <w:rPr>
          <w:rFonts w:hint="eastAsia"/>
        </w:rPr>
      </w:pPr>
      <w:r>
        <w:rPr>
          <w:rFonts w:hint="eastAsia"/>
        </w:rPr>
        <w:t>PMCID: PMC13650167</w:t>
      </w:r>
    </w:p>
    <w:p w14:paraId="4B7951C9">
      <w:pPr>
        <w:pStyle w:val="2"/>
        <w:rPr>
          <w:rFonts w:hint="eastAsia"/>
        </w:rPr>
      </w:pPr>
      <w:r>
        <w:rPr>
          <w:rFonts w:hint="eastAsia"/>
        </w:rPr>
        <w:t>PMID: 42851131 [Indexed for MEDLINE]</w:t>
      </w:r>
    </w:p>
    <w:p w14:paraId="13A7BB03">
      <w:pPr>
        <w:pStyle w:val="2"/>
        <w:rPr>
          <w:rFonts w:hint="eastAsia"/>
        </w:rPr>
      </w:pPr>
    </w:p>
    <w:p w14:paraId="3E20DA95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72</w:t>
      </w:r>
      <w:r>
        <w:rPr>
          <w:rFonts w:hint="eastAsia"/>
          <w:b/>
          <w:bCs/>
          <w:color w:val="FF0000"/>
        </w:rPr>
        <w:t>. Quant Biol. 2026 Jul 14;14(3):e70045. doi: 10.1002/qub2.70045. eCollection 2026 Sep.</w:t>
      </w:r>
    </w:p>
    <w:p w14:paraId="6B1A4FEC">
      <w:pPr>
        <w:pStyle w:val="2"/>
        <w:rPr>
          <w:rFonts w:hint="eastAsia"/>
        </w:rPr>
      </w:pPr>
    </w:p>
    <w:p w14:paraId="1D0696E1">
      <w:pPr>
        <w:pStyle w:val="2"/>
        <w:rPr>
          <w:rFonts w:hint="eastAsia"/>
        </w:rPr>
      </w:pPr>
      <w:r>
        <w:rPr>
          <w:rFonts w:hint="eastAsia"/>
        </w:rPr>
        <w:t xml:space="preserve">Fractal-fractional model for analysis of tuberculosis infection using Ethiopia </w:t>
      </w:r>
    </w:p>
    <w:p w14:paraId="4D66C8BE">
      <w:pPr>
        <w:pStyle w:val="2"/>
        <w:rPr>
          <w:rFonts w:hint="eastAsia"/>
        </w:rPr>
      </w:pPr>
      <w:r>
        <w:rPr>
          <w:rFonts w:hint="eastAsia"/>
        </w:rPr>
        <w:t>incidence data.</w:t>
      </w:r>
    </w:p>
    <w:p w14:paraId="6DF25578">
      <w:pPr>
        <w:pStyle w:val="2"/>
        <w:rPr>
          <w:rFonts w:hint="eastAsia"/>
        </w:rPr>
      </w:pPr>
    </w:p>
    <w:p w14:paraId="47F11227">
      <w:pPr>
        <w:pStyle w:val="2"/>
        <w:rPr>
          <w:rFonts w:hint="eastAsia"/>
        </w:rPr>
      </w:pPr>
      <w:r>
        <w:rPr>
          <w:rFonts w:hint="eastAsia"/>
        </w:rPr>
        <w:t>Cheneke KR(1)(2), Fatmawati F(2), Bayram M(3).</w:t>
      </w:r>
    </w:p>
    <w:p w14:paraId="31CDC4B5">
      <w:pPr>
        <w:pStyle w:val="2"/>
        <w:rPr>
          <w:rFonts w:hint="eastAsia"/>
        </w:rPr>
      </w:pPr>
    </w:p>
    <w:p w14:paraId="2238A65C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5EB9BF38">
      <w:pPr>
        <w:pStyle w:val="2"/>
        <w:rPr>
          <w:rFonts w:hint="eastAsia"/>
        </w:rPr>
      </w:pPr>
      <w:r>
        <w:rPr>
          <w:rFonts w:hint="eastAsia"/>
        </w:rPr>
        <w:t xml:space="preserve">(1)Department of Mathematics Hawassa College of Teacher Education Hawassa </w:t>
      </w:r>
    </w:p>
    <w:p w14:paraId="14E427B2">
      <w:pPr>
        <w:pStyle w:val="2"/>
        <w:rPr>
          <w:rFonts w:hint="eastAsia"/>
        </w:rPr>
      </w:pPr>
      <w:r>
        <w:rPr>
          <w:rFonts w:hint="eastAsia"/>
        </w:rPr>
        <w:t>Ethiopia.</w:t>
      </w:r>
    </w:p>
    <w:p w14:paraId="0AEA69E7">
      <w:pPr>
        <w:pStyle w:val="2"/>
        <w:rPr>
          <w:rFonts w:hint="eastAsia"/>
        </w:rPr>
      </w:pPr>
      <w:r>
        <w:rPr>
          <w:rFonts w:hint="eastAsia"/>
        </w:rPr>
        <w:t xml:space="preserve">(2)Department of Mathematics, Faculty of Science and Technology Airlangga </w:t>
      </w:r>
    </w:p>
    <w:p w14:paraId="249354AA">
      <w:pPr>
        <w:pStyle w:val="2"/>
        <w:rPr>
          <w:rFonts w:hint="eastAsia"/>
        </w:rPr>
      </w:pPr>
      <w:r>
        <w:rPr>
          <w:rFonts w:hint="eastAsia"/>
        </w:rPr>
        <w:t>University Surabaya Indonesia.</w:t>
      </w:r>
    </w:p>
    <w:p w14:paraId="3EE2664C">
      <w:pPr>
        <w:pStyle w:val="2"/>
        <w:rPr>
          <w:rFonts w:hint="eastAsia"/>
        </w:rPr>
      </w:pPr>
      <w:r>
        <w:rPr>
          <w:rFonts w:hint="eastAsia"/>
        </w:rPr>
        <w:t>(3)Department of Computer Engineering Biruni University Istanbul Türkiye.</w:t>
      </w:r>
    </w:p>
    <w:p w14:paraId="050EDE07">
      <w:pPr>
        <w:pStyle w:val="2"/>
        <w:rPr>
          <w:rFonts w:hint="eastAsia"/>
        </w:rPr>
      </w:pPr>
    </w:p>
    <w:p w14:paraId="7ACD3AE7">
      <w:pPr>
        <w:pStyle w:val="2"/>
        <w:rPr>
          <w:rFonts w:hint="eastAsia"/>
        </w:rPr>
      </w:pPr>
      <w:r>
        <w:rPr>
          <w:rFonts w:hint="eastAsia"/>
        </w:rPr>
        <w:t xml:space="preserve">In this study, a fractional-order SEIuITR model was proposed to examine the </w:t>
      </w:r>
    </w:p>
    <w:p w14:paraId="283E2C61">
      <w:pPr>
        <w:pStyle w:val="2"/>
        <w:rPr>
          <w:rFonts w:hint="eastAsia"/>
        </w:rPr>
      </w:pPr>
      <w:r>
        <w:rPr>
          <w:rFonts w:hint="eastAsia"/>
        </w:rPr>
        <w:t xml:space="preserve">transmission of tuberculosis (TB) in the community. The proposed model was </w:t>
      </w:r>
    </w:p>
    <w:p w14:paraId="23062982">
      <w:pPr>
        <w:pStyle w:val="2"/>
        <w:rPr>
          <w:rFonts w:hint="eastAsia"/>
        </w:rPr>
      </w:pPr>
      <w:r>
        <w:rPr>
          <w:rFonts w:hint="eastAsia"/>
        </w:rPr>
        <w:t xml:space="preserve">rigorously examined for well-posedness. The basic reproduction number was also </w:t>
      </w:r>
    </w:p>
    <w:p w14:paraId="3467E50E">
      <w:pPr>
        <w:pStyle w:val="2"/>
        <w:rPr>
          <w:rFonts w:hint="eastAsia"/>
        </w:rPr>
      </w:pPr>
      <w:r>
        <w:rPr>
          <w:rFonts w:hint="eastAsia"/>
        </w:rPr>
        <w:t xml:space="preserve">derived, and the disease-free equilibrium was obtained. The local and global </w:t>
      </w:r>
    </w:p>
    <w:p w14:paraId="6E4DE377">
      <w:pPr>
        <w:pStyle w:val="2"/>
        <w:rPr>
          <w:rFonts w:hint="eastAsia"/>
        </w:rPr>
      </w:pPr>
      <w:r>
        <w:rPr>
          <w:rFonts w:hint="eastAsia"/>
        </w:rPr>
        <w:t xml:space="preserve">stabilities of the proposed model were also examined. The proposed model was </w:t>
      </w:r>
    </w:p>
    <w:p w14:paraId="11C896D3">
      <w:pPr>
        <w:pStyle w:val="2"/>
        <w:rPr>
          <w:rFonts w:hint="eastAsia"/>
        </w:rPr>
      </w:pPr>
      <w:r>
        <w:rPr>
          <w:rFonts w:hint="eastAsia"/>
        </w:rPr>
        <w:t xml:space="preserve">fitted with the actual TB incidence in Ethiopia, while numerical simulations </w:t>
      </w:r>
    </w:p>
    <w:p w14:paraId="793DA18D">
      <w:pPr>
        <w:pStyle w:val="2"/>
        <w:rPr>
          <w:rFonts w:hint="eastAsia"/>
        </w:rPr>
      </w:pPr>
      <w:r>
        <w:rPr>
          <w:rFonts w:hint="eastAsia"/>
        </w:rPr>
        <w:t xml:space="preserve">were carried out in MATLAB to validate the results obtained in this study. Local </w:t>
      </w:r>
    </w:p>
    <w:p w14:paraId="54C53A55">
      <w:pPr>
        <w:pStyle w:val="2"/>
        <w:rPr>
          <w:rFonts w:hint="eastAsia"/>
        </w:rPr>
      </w:pPr>
      <w:r>
        <w:rPr>
          <w:rFonts w:hint="eastAsia"/>
        </w:rPr>
        <w:t xml:space="preserve">and global sensitivity analyses were carried out to determine the key parameters </w:t>
      </w:r>
    </w:p>
    <w:p w14:paraId="5528C59F">
      <w:pPr>
        <w:pStyle w:val="2"/>
        <w:rPr>
          <w:rFonts w:hint="eastAsia"/>
        </w:rPr>
      </w:pPr>
      <w:r>
        <w:rPr>
          <w:rFonts w:hint="eastAsia"/>
        </w:rPr>
        <w:t xml:space="preserve">that influence the transmission of TB in the community. Phase-plane portraits </w:t>
      </w:r>
    </w:p>
    <w:p w14:paraId="7174AE4C">
      <w:pPr>
        <w:pStyle w:val="2"/>
        <w:rPr>
          <w:rFonts w:hint="eastAsia"/>
        </w:rPr>
      </w:pPr>
      <w:r>
        <w:rPr>
          <w:rFonts w:hint="eastAsia"/>
        </w:rPr>
        <w:t xml:space="preserve">and phase-plane diagrams demonstrate the dynamic process of the state variables. </w:t>
      </w:r>
    </w:p>
    <w:p w14:paraId="758CAFF8">
      <w:pPr>
        <w:pStyle w:val="2"/>
        <w:rPr>
          <w:rFonts w:hint="eastAsia"/>
        </w:rPr>
      </w:pPr>
      <w:r>
        <w:rPr>
          <w:rFonts w:hint="eastAsia"/>
        </w:rPr>
        <w:t xml:space="preserve">The results indicate that as the fractional-order increases, the number of </w:t>
      </w:r>
    </w:p>
    <w:p w14:paraId="637E4FDA">
      <w:pPr>
        <w:pStyle w:val="2"/>
        <w:rPr>
          <w:rFonts w:hint="eastAsia"/>
        </w:rPr>
      </w:pPr>
      <w:r>
        <w:rPr>
          <w:rFonts w:hint="eastAsia"/>
        </w:rPr>
        <w:t xml:space="preserve">infections decreases due to the memory effect of early detection and treatment, </w:t>
      </w:r>
    </w:p>
    <w:p w14:paraId="15A181F9">
      <w:pPr>
        <w:pStyle w:val="2"/>
        <w:rPr>
          <w:rFonts w:hint="eastAsia"/>
        </w:rPr>
      </w:pPr>
      <w:r>
        <w:rPr>
          <w:rFonts w:hint="eastAsia"/>
        </w:rPr>
        <w:t xml:space="preserve">while as the order decreases, the number of infections increases. Early </w:t>
      </w:r>
    </w:p>
    <w:p w14:paraId="10209073">
      <w:pPr>
        <w:pStyle w:val="2"/>
        <w:rPr>
          <w:rFonts w:hint="eastAsia"/>
        </w:rPr>
      </w:pPr>
      <w:r>
        <w:rPr>
          <w:rFonts w:hint="eastAsia"/>
        </w:rPr>
        <w:t>detection and treatment have a profound effect on recovery and prevalence.</w:t>
      </w:r>
    </w:p>
    <w:p w14:paraId="405BFE37">
      <w:pPr>
        <w:pStyle w:val="2"/>
        <w:rPr>
          <w:rFonts w:hint="eastAsia"/>
        </w:rPr>
      </w:pPr>
    </w:p>
    <w:p w14:paraId="47AD5EC0">
      <w:pPr>
        <w:pStyle w:val="2"/>
        <w:rPr>
          <w:rFonts w:hint="eastAsia"/>
        </w:rPr>
      </w:pPr>
      <w:r>
        <w:rPr>
          <w:rFonts w:hint="eastAsia"/>
        </w:rPr>
        <w:t xml:space="preserve">© 2026 The Author(s). Quantitative Biology published by John Wiley &amp; Sons </w:t>
      </w:r>
    </w:p>
    <w:p w14:paraId="475A0AE1">
      <w:pPr>
        <w:pStyle w:val="2"/>
        <w:rPr>
          <w:rFonts w:hint="eastAsia"/>
        </w:rPr>
      </w:pPr>
      <w:r>
        <w:rPr>
          <w:rFonts w:hint="eastAsia"/>
        </w:rPr>
        <w:t>Australia, Ltd on behalf of Higher Education Press.</w:t>
      </w:r>
    </w:p>
    <w:p w14:paraId="423BDEAB">
      <w:pPr>
        <w:pStyle w:val="2"/>
        <w:rPr>
          <w:rFonts w:hint="eastAsia"/>
        </w:rPr>
      </w:pPr>
    </w:p>
    <w:p w14:paraId="47CAF8B8">
      <w:pPr>
        <w:pStyle w:val="2"/>
        <w:rPr>
          <w:rFonts w:hint="eastAsia"/>
        </w:rPr>
      </w:pPr>
      <w:r>
        <w:rPr>
          <w:rFonts w:hint="eastAsia"/>
        </w:rPr>
        <w:t>DOI: 10.1002/qub2.70045</w:t>
      </w:r>
    </w:p>
    <w:p w14:paraId="22A01592">
      <w:pPr>
        <w:pStyle w:val="2"/>
        <w:rPr>
          <w:rFonts w:hint="eastAsia"/>
        </w:rPr>
      </w:pPr>
      <w:r>
        <w:rPr>
          <w:rFonts w:hint="eastAsia"/>
        </w:rPr>
        <w:t>PMCID: PMC13642085</w:t>
      </w:r>
    </w:p>
    <w:p w14:paraId="1E35720D">
      <w:pPr>
        <w:pStyle w:val="2"/>
        <w:rPr>
          <w:rFonts w:hint="eastAsia"/>
        </w:rPr>
      </w:pPr>
      <w:r>
        <w:rPr>
          <w:rFonts w:hint="eastAsia"/>
        </w:rPr>
        <w:t>PMID: 42845676</w:t>
      </w:r>
    </w:p>
    <w:p w14:paraId="5CC59F43">
      <w:pPr>
        <w:pStyle w:val="2"/>
        <w:rPr>
          <w:rFonts w:hint="eastAsia"/>
        </w:rPr>
      </w:pPr>
    </w:p>
    <w:p w14:paraId="23B08A96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73</w:t>
      </w:r>
      <w:r>
        <w:rPr>
          <w:rFonts w:hint="eastAsia"/>
          <w:b/>
          <w:bCs/>
          <w:color w:val="FF0000"/>
        </w:rPr>
        <w:t xml:space="preserve">. medRxiv [Preprint]. 2026 Aug 12:2026.04.08.26350465. doi: </w:t>
      </w:r>
    </w:p>
    <w:p w14:paraId="6D85E193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10.64898/2026.04.08.26350465.</w:t>
      </w:r>
    </w:p>
    <w:p w14:paraId="557F0E0A">
      <w:pPr>
        <w:pStyle w:val="2"/>
        <w:rPr>
          <w:rFonts w:hint="eastAsia"/>
        </w:rPr>
      </w:pPr>
    </w:p>
    <w:p w14:paraId="08C54958">
      <w:pPr>
        <w:pStyle w:val="2"/>
        <w:rPr>
          <w:rFonts w:hint="eastAsia"/>
        </w:rPr>
      </w:pPr>
      <w:r>
        <w:rPr>
          <w:rFonts w:hint="eastAsia"/>
        </w:rPr>
        <w:t xml:space="preserve">Mediating Role of Depression and Anxiety in the Association Between Food </w:t>
      </w:r>
    </w:p>
    <w:p w14:paraId="48564773">
      <w:pPr>
        <w:pStyle w:val="2"/>
        <w:rPr>
          <w:rFonts w:hint="eastAsia"/>
        </w:rPr>
      </w:pPr>
      <w:r>
        <w:rPr>
          <w:rFonts w:hint="eastAsia"/>
        </w:rPr>
        <w:t>Insecurity and Delayed TB Treatment in Botswana: A Cross-Sectional Study.</w:t>
      </w:r>
    </w:p>
    <w:p w14:paraId="0A8B38AA">
      <w:pPr>
        <w:pStyle w:val="2"/>
        <w:rPr>
          <w:rFonts w:hint="eastAsia"/>
        </w:rPr>
      </w:pPr>
    </w:p>
    <w:p w14:paraId="458F1CFE">
      <w:pPr>
        <w:pStyle w:val="2"/>
        <w:rPr>
          <w:rFonts w:hint="eastAsia"/>
        </w:rPr>
      </w:pPr>
      <w:r>
        <w:rPr>
          <w:rFonts w:hint="eastAsia"/>
        </w:rPr>
        <w:t>Sakyi E, Molebatsi K, Modongo C, Shin SS.</w:t>
      </w:r>
    </w:p>
    <w:p w14:paraId="4FE6ED00">
      <w:pPr>
        <w:pStyle w:val="2"/>
        <w:rPr>
          <w:rFonts w:hint="eastAsia"/>
        </w:rPr>
      </w:pPr>
    </w:p>
    <w:p w14:paraId="02EC67EF">
      <w:pPr>
        <w:pStyle w:val="2"/>
        <w:rPr>
          <w:rFonts w:hint="eastAsia"/>
        </w:rPr>
      </w:pPr>
      <w:r>
        <w:rPr>
          <w:rFonts w:hint="eastAsia"/>
          <w:b/>
          <w:bCs/>
        </w:rPr>
        <w:t>BACKGROUND</w:t>
      </w:r>
      <w:r>
        <w:rPr>
          <w:rFonts w:hint="eastAsia"/>
        </w:rPr>
        <w:t xml:space="preserve">: Delayed TB treatment remains a major challenge to tuberculosis (TB) </w:t>
      </w:r>
    </w:p>
    <w:p w14:paraId="03439D87">
      <w:pPr>
        <w:pStyle w:val="2"/>
        <w:rPr>
          <w:rFonts w:hint="eastAsia"/>
        </w:rPr>
      </w:pPr>
      <w:r>
        <w:rPr>
          <w:rFonts w:hint="eastAsia"/>
        </w:rPr>
        <w:t xml:space="preserve">control in low- and middle-income countries, where it contributes to prolonged </w:t>
      </w:r>
    </w:p>
    <w:p w14:paraId="55DCCC80">
      <w:pPr>
        <w:pStyle w:val="2"/>
        <w:rPr>
          <w:rFonts w:hint="eastAsia"/>
        </w:rPr>
      </w:pPr>
      <w:r>
        <w:rPr>
          <w:rFonts w:hint="eastAsia"/>
        </w:rPr>
        <w:t xml:space="preserve">infection, higher costs, and increased drug resistance. Food insecurity is an </w:t>
      </w:r>
    </w:p>
    <w:p w14:paraId="2D0285C0">
      <w:pPr>
        <w:pStyle w:val="2"/>
        <w:rPr>
          <w:rFonts w:hint="eastAsia"/>
        </w:rPr>
      </w:pPr>
      <w:r>
        <w:rPr>
          <w:rFonts w:hint="eastAsia"/>
        </w:rPr>
        <w:t xml:space="preserve">important determinant of health among people with TB and may contribute to </w:t>
      </w:r>
    </w:p>
    <w:p w14:paraId="66AEAB28">
      <w:pPr>
        <w:pStyle w:val="2"/>
        <w:rPr>
          <w:rFonts w:hint="eastAsia"/>
        </w:rPr>
      </w:pPr>
      <w:r>
        <w:rPr>
          <w:rFonts w:hint="eastAsia"/>
        </w:rPr>
        <w:t xml:space="preserve">delayed treatment through economic, physical, and psychosocial pathways. </w:t>
      </w:r>
    </w:p>
    <w:p w14:paraId="6BA7A3CD">
      <w:pPr>
        <w:pStyle w:val="2"/>
        <w:rPr>
          <w:rFonts w:hint="eastAsia"/>
        </w:rPr>
      </w:pPr>
      <w:r>
        <w:rPr>
          <w:rFonts w:hint="eastAsia"/>
        </w:rPr>
        <w:t xml:space="preserve">Depression and anxiety have also been associated with both food insecurity and </w:t>
      </w:r>
    </w:p>
    <w:p w14:paraId="7858FDD0">
      <w:pPr>
        <w:pStyle w:val="2"/>
        <w:rPr>
          <w:rFonts w:hint="eastAsia"/>
        </w:rPr>
      </w:pPr>
      <w:r>
        <w:rPr>
          <w:rFonts w:hint="eastAsia"/>
        </w:rPr>
        <w:t xml:space="preserve">delayed TB treatment, suggesting that they may mediate this relationship. This </w:t>
      </w:r>
    </w:p>
    <w:p w14:paraId="78003ABD">
      <w:pPr>
        <w:pStyle w:val="2"/>
        <w:rPr>
          <w:rFonts w:hint="eastAsia"/>
        </w:rPr>
      </w:pPr>
      <w:r>
        <w:rPr>
          <w:rFonts w:hint="eastAsia"/>
        </w:rPr>
        <w:t xml:space="preserve">study examined the association between food insecurity and delayed TB treatment </w:t>
      </w:r>
    </w:p>
    <w:p w14:paraId="2C2081D1">
      <w:pPr>
        <w:pStyle w:val="2"/>
        <w:rPr>
          <w:rFonts w:hint="eastAsia"/>
        </w:rPr>
      </w:pPr>
      <w:r>
        <w:rPr>
          <w:rFonts w:hint="eastAsia"/>
        </w:rPr>
        <w:t xml:space="preserve">initiation and assessed the mediating roles of depression for this relationship </w:t>
      </w:r>
    </w:p>
    <w:p w14:paraId="7E08327B">
      <w:pPr>
        <w:pStyle w:val="2"/>
        <w:rPr>
          <w:rFonts w:hint="eastAsia"/>
        </w:rPr>
      </w:pPr>
      <w:r>
        <w:rPr>
          <w:rFonts w:hint="eastAsia"/>
        </w:rPr>
        <w:t>among people newly diagnosed with TB in Botswana.</w:t>
      </w:r>
    </w:p>
    <w:p w14:paraId="3C883612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METHODS: </w:t>
      </w:r>
      <w:r>
        <w:rPr>
          <w:rFonts w:hint="eastAsia"/>
        </w:rPr>
        <w:t xml:space="preserve">We recruited 180 participants newly diagnosed with TB in Gaborone, </w:t>
      </w:r>
    </w:p>
    <w:p w14:paraId="71B6600B">
      <w:pPr>
        <w:pStyle w:val="2"/>
        <w:rPr>
          <w:rFonts w:hint="eastAsia"/>
        </w:rPr>
      </w:pPr>
      <w:r>
        <w:rPr>
          <w:rFonts w:hint="eastAsia"/>
        </w:rPr>
        <w:t xml:space="preserve">Botswana. Food insecurity, depression, and anxiety were measured using the </w:t>
      </w:r>
    </w:p>
    <w:p w14:paraId="5994AE5B">
      <w:pPr>
        <w:pStyle w:val="2"/>
        <w:rPr>
          <w:rFonts w:hint="eastAsia"/>
        </w:rPr>
      </w:pPr>
      <w:r>
        <w:rPr>
          <w:rFonts w:hint="eastAsia"/>
        </w:rPr>
        <w:t xml:space="preserve">Household Food Insecurity Access Scale, PHQ-9, and Zung Self-Rating Anxiety </w:t>
      </w:r>
    </w:p>
    <w:p w14:paraId="090D6B5F">
      <w:pPr>
        <w:pStyle w:val="2"/>
        <w:rPr>
          <w:rFonts w:hint="eastAsia"/>
        </w:rPr>
      </w:pPr>
      <w:r>
        <w:rPr>
          <w:rFonts w:hint="eastAsia"/>
        </w:rPr>
        <w:t xml:space="preserve">Scale, respectively. Logistic regression was used to examine the association </w:t>
      </w:r>
    </w:p>
    <w:p w14:paraId="63D6AEFA">
      <w:pPr>
        <w:pStyle w:val="2"/>
        <w:rPr>
          <w:rFonts w:hint="eastAsia"/>
        </w:rPr>
      </w:pPr>
      <w:r>
        <w:rPr>
          <w:rFonts w:hint="eastAsia"/>
        </w:rPr>
        <w:t xml:space="preserve">between food insecurity and delayed TB treatment. Mediation analysis using a </w:t>
      </w:r>
    </w:p>
    <w:p w14:paraId="4109A055">
      <w:pPr>
        <w:pStyle w:val="2"/>
        <w:rPr>
          <w:rFonts w:hint="eastAsia"/>
        </w:rPr>
      </w:pPr>
      <w:r>
        <w:rPr>
          <w:rFonts w:hint="eastAsia"/>
        </w:rPr>
        <w:t xml:space="preserve">counterfactual framework was conducted to assess the mediating roles of </w:t>
      </w:r>
    </w:p>
    <w:p w14:paraId="4D1D0446">
      <w:pPr>
        <w:pStyle w:val="2"/>
        <w:rPr>
          <w:rFonts w:hint="eastAsia"/>
        </w:rPr>
      </w:pPr>
      <w:r>
        <w:rPr>
          <w:rFonts w:hint="eastAsia"/>
        </w:rPr>
        <w:t>depression and anxiety.</w:t>
      </w:r>
    </w:p>
    <w:p w14:paraId="116C6555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Among the 180 participants, 45 (25%) experienced delayed TB treatment </w:t>
      </w:r>
    </w:p>
    <w:p w14:paraId="40B14097">
      <w:pPr>
        <w:pStyle w:val="2"/>
        <w:rPr>
          <w:rFonts w:hint="eastAsia"/>
        </w:rPr>
      </w:pPr>
      <w:r>
        <w:rPr>
          <w:rFonts w:hint="eastAsia"/>
        </w:rPr>
        <w:t xml:space="preserve">initiation. Participants with delayed TB treatment had higher mean scores for </w:t>
      </w:r>
    </w:p>
    <w:p w14:paraId="7D7A5B02">
      <w:pPr>
        <w:pStyle w:val="2"/>
        <w:rPr>
          <w:rFonts w:hint="eastAsia"/>
        </w:rPr>
      </w:pPr>
      <w:r>
        <w:rPr>
          <w:rFonts w:hint="eastAsia"/>
        </w:rPr>
        <w:t xml:space="preserve">food insecurity (4.16 vs 2.99, p = 0.11), depression (10.1 vs 6.92, p = 0.001), </w:t>
      </w:r>
    </w:p>
    <w:p w14:paraId="769A90C2">
      <w:pPr>
        <w:pStyle w:val="2"/>
        <w:rPr>
          <w:rFonts w:hint="eastAsia"/>
        </w:rPr>
      </w:pPr>
      <w:r>
        <w:rPr>
          <w:rFonts w:hint="eastAsia"/>
        </w:rPr>
        <w:t xml:space="preserve">and anxiety (37.1 vs. 33.9, p = 0.05). While standard regression analysis found </w:t>
      </w:r>
    </w:p>
    <w:p w14:paraId="5F8E5AF8">
      <w:pPr>
        <w:pStyle w:val="2"/>
        <w:rPr>
          <w:rFonts w:hint="eastAsia"/>
        </w:rPr>
      </w:pPr>
      <w:r>
        <w:rPr>
          <w:rFonts w:hint="eastAsia"/>
        </w:rPr>
        <w:t xml:space="preserve">insufficient evidence of an overall association between food insecurity and </w:t>
      </w:r>
    </w:p>
    <w:p w14:paraId="7E35830F">
      <w:pPr>
        <w:pStyle w:val="2"/>
        <w:rPr>
          <w:rFonts w:hint="eastAsia"/>
        </w:rPr>
      </w:pPr>
      <w:r>
        <w:rPr>
          <w:rFonts w:hint="eastAsia"/>
        </w:rPr>
        <w:t xml:space="preserve">delayed TB treatment initiation (OR = 1.04, 95% CI: 0.98-1.11, p = 0.20), </w:t>
      </w:r>
    </w:p>
    <w:p w14:paraId="63CFC98A">
      <w:pPr>
        <w:pStyle w:val="2"/>
        <w:rPr>
          <w:rFonts w:hint="eastAsia"/>
        </w:rPr>
      </w:pPr>
      <w:r>
        <w:rPr>
          <w:rFonts w:hint="eastAsia"/>
        </w:rPr>
        <w:t xml:space="preserve">mediation analysis found evidence of total natural indirect effects through </w:t>
      </w:r>
    </w:p>
    <w:p w14:paraId="0DCD610A">
      <w:pPr>
        <w:pStyle w:val="2"/>
        <w:rPr>
          <w:rFonts w:hint="eastAsia"/>
        </w:rPr>
      </w:pPr>
      <w:r>
        <w:rPr>
          <w:rFonts w:hint="eastAsia"/>
        </w:rPr>
        <w:t xml:space="preserve">depression (OR = 1.04, 95% CI: 1.01-1.08, p&lt;0.001, 99% mediated) and anxiety (OR </w:t>
      </w:r>
    </w:p>
    <w:p w14:paraId="40682CA1">
      <w:pPr>
        <w:pStyle w:val="2"/>
        <w:rPr>
          <w:rFonts w:hint="eastAsia"/>
        </w:rPr>
      </w:pPr>
      <w:r>
        <w:rPr>
          <w:rFonts w:hint="eastAsia"/>
        </w:rPr>
        <w:t>= 1.03, 95% CI: 1.01 - 1.06, p&lt;0.001, 38% mediated).</w:t>
      </w:r>
    </w:p>
    <w:p w14:paraId="21C238FF">
      <w:pPr>
        <w:pStyle w:val="2"/>
        <w:rPr>
          <w:rFonts w:hint="eastAsia"/>
        </w:rPr>
      </w:pPr>
      <w:r>
        <w:rPr>
          <w:rFonts w:hint="eastAsia"/>
          <w:b/>
          <w:bCs/>
        </w:rPr>
        <w:t>CONCLUSION:</w:t>
      </w:r>
      <w:r>
        <w:rPr>
          <w:rFonts w:hint="eastAsia"/>
        </w:rPr>
        <w:t xml:space="preserve"> Mediation analysis revealed that depression and anxiety may </w:t>
      </w:r>
    </w:p>
    <w:p w14:paraId="7BD80453">
      <w:pPr>
        <w:pStyle w:val="2"/>
        <w:rPr>
          <w:rFonts w:hint="eastAsia"/>
        </w:rPr>
      </w:pPr>
      <w:r>
        <w:rPr>
          <w:rFonts w:hint="eastAsia"/>
        </w:rPr>
        <w:t xml:space="preserve">represent pathways linking food insecurity to delayed TB treatment. These </w:t>
      </w:r>
    </w:p>
    <w:p w14:paraId="7555D7D4">
      <w:pPr>
        <w:pStyle w:val="2"/>
        <w:rPr>
          <w:rFonts w:hint="eastAsia"/>
        </w:rPr>
      </w:pPr>
      <w:r>
        <w:rPr>
          <w:rFonts w:hint="eastAsia"/>
        </w:rPr>
        <w:t xml:space="preserve">findings highlight the importance of considering both socioeconomic and </w:t>
      </w:r>
    </w:p>
    <w:p w14:paraId="70FD20CA">
      <w:pPr>
        <w:pStyle w:val="2"/>
        <w:rPr>
          <w:rFonts w:hint="eastAsia"/>
        </w:rPr>
      </w:pPr>
      <w:r>
        <w:rPr>
          <w:rFonts w:hint="eastAsia"/>
        </w:rPr>
        <w:t xml:space="preserve">psychological factors in addressing delayed TB treatment. Further studies are </w:t>
      </w:r>
    </w:p>
    <w:p w14:paraId="7925F1CF">
      <w:pPr>
        <w:pStyle w:val="2"/>
        <w:rPr>
          <w:rFonts w:hint="eastAsia"/>
        </w:rPr>
      </w:pPr>
      <w:r>
        <w:rPr>
          <w:rFonts w:hint="eastAsia"/>
        </w:rPr>
        <w:t>needed to confirm these pathways.</w:t>
      </w:r>
    </w:p>
    <w:p w14:paraId="43DDCA4F">
      <w:pPr>
        <w:pStyle w:val="2"/>
        <w:rPr>
          <w:rFonts w:hint="eastAsia"/>
        </w:rPr>
      </w:pPr>
    </w:p>
    <w:p w14:paraId="5980F82D">
      <w:pPr>
        <w:pStyle w:val="2"/>
        <w:rPr>
          <w:rFonts w:hint="eastAsia"/>
        </w:rPr>
      </w:pPr>
      <w:r>
        <w:rPr>
          <w:rFonts w:hint="eastAsia"/>
        </w:rPr>
        <w:t>DOI: 10.64898/2026.04.08.26350465</w:t>
      </w:r>
    </w:p>
    <w:p w14:paraId="59736681">
      <w:pPr>
        <w:pStyle w:val="2"/>
        <w:rPr>
          <w:rFonts w:hint="eastAsia"/>
        </w:rPr>
      </w:pPr>
      <w:r>
        <w:rPr>
          <w:rFonts w:hint="eastAsia"/>
        </w:rPr>
        <w:t>PMCID: PMC13640758</w:t>
      </w:r>
    </w:p>
    <w:p w14:paraId="70C59492">
      <w:pPr>
        <w:pStyle w:val="2"/>
        <w:rPr>
          <w:rFonts w:hint="eastAsia"/>
        </w:rPr>
      </w:pPr>
      <w:r>
        <w:rPr>
          <w:rFonts w:hint="eastAsia"/>
        </w:rPr>
        <w:t>PMID: 42845462</w:t>
      </w:r>
    </w:p>
    <w:p w14:paraId="6417B491">
      <w:pPr>
        <w:pStyle w:val="2"/>
        <w:rPr>
          <w:rFonts w:hint="eastAsia"/>
        </w:rPr>
      </w:pPr>
    </w:p>
    <w:p w14:paraId="178C0971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74</w:t>
      </w:r>
      <w:r>
        <w:rPr>
          <w:rFonts w:hint="eastAsia"/>
          <w:b/>
          <w:bCs/>
          <w:color w:val="FF0000"/>
        </w:rPr>
        <w:t xml:space="preserve">. bioRxiv [Preprint]. 2026 Aug 14:2026.08.10.743910. doi: </w:t>
      </w:r>
    </w:p>
    <w:p w14:paraId="6E813DAC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10.64898/2026.08.10.743910.</w:t>
      </w:r>
    </w:p>
    <w:p w14:paraId="4611F06E">
      <w:pPr>
        <w:pStyle w:val="2"/>
        <w:rPr>
          <w:rFonts w:hint="eastAsia"/>
        </w:rPr>
      </w:pPr>
    </w:p>
    <w:p w14:paraId="4EB067F1">
      <w:pPr>
        <w:pStyle w:val="2"/>
        <w:rPr>
          <w:rFonts w:hint="eastAsia"/>
        </w:rPr>
      </w:pPr>
      <w:r>
        <w:rPr>
          <w:rFonts w:hint="eastAsia"/>
        </w:rPr>
        <w:t>Lung Resident T Cells Across the Spectrum of TB Infection and Disease.</w:t>
      </w:r>
    </w:p>
    <w:p w14:paraId="50AA40FD">
      <w:pPr>
        <w:pStyle w:val="2"/>
        <w:rPr>
          <w:rFonts w:hint="eastAsia"/>
        </w:rPr>
      </w:pPr>
    </w:p>
    <w:p w14:paraId="605D7FCF">
      <w:pPr>
        <w:pStyle w:val="2"/>
        <w:rPr>
          <w:rFonts w:hint="eastAsia"/>
        </w:rPr>
      </w:pPr>
      <w:r>
        <w:rPr>
          <w:rFonts w:hint="eastAsia"/>
        </w:rPr>
        <w:t xml:space="preserve">Kain D, McElfresh GW, Rott KH, Cansler M, Swarbrick GM, Walzl G, Du Plessis N, </w:t>
      </w:r>
    </w:p>
    <w:p w14:paraId="43D88548">
      <w:pPr>
        <w:pStyle w:val="2"/>
        <w:rPr>
          <w:rFonts w:hint="eastAsia"/>
        </w:rPr>
      </w:pPr>
      <w:r>
        <w:rPr>
          <w:rFonts w:hint="eastAsia"/>
        </w:rPr>
        <w:t>Lewinsohn DA, Bimber BN, Lewinsohn DM.</w:t>
      </w:r>
    </w:p>
    <w:p w14:paraId="5F52AB70">
      <w:pPr>
        <w:pStyle w:val="2"/>
        <w:rPr>
          <w:rFonts w:hint="eastAsia"/>
        </w:rPr>
      </w:pPr>
    </w:p>
    <w:p w14:paraId="66237CE4">
      <w:pPr>
        <w:pStyle w:val="2"/>
        <w:rPr>
          <w:rFonts w:hint="eastAsia"/>
        </w:rPr>
      </w:pPr>
      <w:r>
        <w:rPr>
          <w:rFonts w:hint="eastAsia"/>
        </w:rPr>
        <w:t xml:space="preserve">Tuberculosis (TB) remains the leading infectious cause of death worldwide, yet </w:t>
      </w:r>
    </w:p>
    <w:p w14:paraId="2E390A39">
      <w:pPr>
        <w:pStyle w:val="2"/>
        <w:rPr>
          <w:rFonts w:hint="eastAsia"/>
        </w:rPr>
      </w:pPr>
      <w:r>
        <w:rPr>
          <w:rFonts w:hint="eastAsia"/>
        </w:rPr>
        <w:t xml:space="preserve">immunological protection against Mycobacterium tuberculosis (Mtb) remain poorly </w:t>
      </w:r>
    </w:p>
    <w:p w14:paraId="381967A3">
      <w:pPr>
        <w:pStyle w:val="2"/>
        <w:rPr>
          <w:rFonts w:hint="eastAsia"/>
        </w:rPr>
      </w:pPr>
      <w:r>
        <w:rPr>
          <w:rFonts w:hint="eastAsia"/>
        </w:rPr>
        <w:t xml:space="preserve">understood. We performed integrated single-cell transcriptomics and functional </w:t>
      </w:r>
    </w:p>
    <w:p w14:paraId="2C86B3A7">
      <w:pPr>
        <w:pStyle w:val="2"/>
        <w:rPr>
          <w:rFonts w:hint="eastAsia"/>
        </w:rPr>
      </w:pPr>
      <w:r>
        <w:rPr>
          <w:rFonts w:hint="eastAsia"/>
        </w:rPr>
        <w:t xml:space="preserve">T-cell cloning on paired bronchoalveolar lavage (BAL) and peripheral blood </w:t>
      </w:r>
    </w:p>
    <w:p w14:paraId="5BD2DCFA">
      <w:pPr>
        <w:pStyle w:val="2"/>
        <w:rPr>
          <w:rFonts w:hint="eastAsia"/>
        </w:rPr>
      </w:pPr>
      <w:r>
        <w:rPr>
          <w:rFonts w:hint="eastAsia"/>
        </w:rPr>
        <w:t xml:space="preserve">samples from those exposed to TB, using IGRA and PET-CT to study potentially </w:t>
      </w:r>
    </w:p>
    <w:p w14:paraId="4F56ED48">
      <w:pPr>
        <w:pStyle w:val="2"/>
        <w:rPr>
          <w:rFonts w:hint="eastAsia"/>
        </w:rPr>
      </w:pPr>
      <w:r>
        <w:rPr>
          <w:rFonts w:hint="eastAsia"/>
        </w:rPr>
        <w:t xml:space="preserve">protective responses across the spectrum of TB infection/disease. Recent Mtb </w:t>
      </w:r>
    </w:p>
    <w:p w14:paraId="33A69EB2">
      <w:pPr>
        <w:pStyle w:val="2"/>
        <w:rPr>
          <w:rFonts w:hint="eastAsia"/>
        </w:rPr>
      </w:pPr>
      <w:r>
        <w:rPr>
          <w:rFonts w:hint="eastAsia"/>
        </w:rPr>
        <w:t xml:space="preserve">exposure alone was sufficient to remodel the pulmonary T-cell compartment. </w:t>
      </w:r>
    </w:p>
    <w:p w14:paraId="5EF867A6">
      <w:pPr>
        <w:pStyle w:val="2"/>
        <w:rPr>
          <w:rFonts w:hint="eastAsia"/>
        </w:rPr>
      </w:pPr>
      <w:r>
        <w:rPr>
          <w:rFonts w:hint="eastAsia"/>
        </w:rPr>
        <w:t xml:space="preserve">Longitudinal follow-up demonstrated that all participants who progressed to </w:t>
      </w:r>
    </w:p>
    <w:p w14:paraId="76D0BE9D">
      <w:pPr>
        <w:pStyle w:val="2"/>
        <w:rPr>
          <w:rFonts w:hint="eastAsia"/>
        </w:rPr>
      </w:pPr>
      <w:r>
        <w:rPr>
          <w:rFonts w:hint="eastAsia"/>
        </w:rPr>
        <w:t xml:space="preserve">active TB had baseline PET-CT abnormalities, showing that PET-CT scan can be </w:t>
      </w:r>
    </w:p>
    <w:p w14:paraId="7746E7DF">
      <w:pPr>
        <w:pStyle w:val="2"/>
        <w:rPr>
          <w:rFonts w:hint="eastAsia"/>
        </w:rPr>
      </w:pPr>
      <w:r>
        <w:rPr>
          <w:rFonts w:hint="eastAsia"/>
        </w:rPr>
        <w:t xml:space="preserve">used to find those at high risk of progression. Furthermore, those who were </w:t>
      </w:r>
    </w:p>
    <w:p w14:paraId="2F34C365">
      <w:pPr>
        <w:pStyle w:val="2"/>
        <w:rPr>
          <w:rFonts w:hint="eastAsia"/>
        </w:rPr>
      </w:pPr>
      <w:r>
        <w:rPr>
          <w:rFonts w:hint="eastAsia"/>
        </w:rPr>
        <w:t xml:space="preserve">PET-positive, but did not progress to active TB provide a natural model for </w:t>
      </w:r>
    </w:p>
    <w:p w14:paraId="4547131E">
      <w:pPr>
        <w:pStyle w:val="2"/>
        <w:rPr>
          <w:rFonts w:hint="eastAsia"/>
        </w:rPr>
      </w:pPr>
      <w:r>
        <w:rPr>
          <w:rFonts w:hint="eastAsia"/>
        </w:rPr>
        <w:t xml:space="preserve">protection, and exhibited enrichment of pulmonary cytotoxic CD8-associated T </w:t>
      </w:r>
    </w:p>
    <w:p w14:paraId="501A551C">
      <w:pPr>
        <w:pStyle w:val="2"/>
        <w:rPr>
          <w:rFonts w:hint="eastAsia"/>
        </w:rPr>
      </w:pPr>
      <w:r>
        <w:rPr>
          <w:rFonts w:hint="eastAsia"/>
        </w:rPr>
        <w:t xml:space="preserve">cells, identifying a candidate protective immune program. TAR-seq identified a </w:t>
      </w:r>
    </w:p>
    <w:p w14:paraId="33C49F72">
      <w:pPr>
        <w:pStyle w:val="2"/>
        <w:rPr>
          <w:rFonts w:hint="eastAsia"/>
        </w:rPr>
      </w:pPr>
      <w:r>
        <w:rPr>
          <w:rFonts w:hint="eastAsia"/>
        </w:rPr>
        <w:t xml:space="preserve">discrete population of clonally expanded Mtb-responsive T cells and enabled </w:t>
      </w:r>
    </w:p>
    <w:p w14:paraId="47EC0ED9">
      <w:pPr>
        <w:pStyle w:val="2"/>
        <w:rPr>
          <w:rFonts w:hint="eastAsia"/>
        </w:rPr>
      </w:pPr>
      <w:r>
        <w:rPr>
          <w:rFonts w:hint="eastAsia"/>
        </w:rPr>
        <w:t xml:space="preserve">direct linkage of antigen-responsive TCRs to transcriptional state through T </w:t>
      </w:r>
    </w:p>
    <w:p w14:paraId="3A7E4B57">
      <w:pPr>
        <w:pStyle w:val="2"/>
        <w:rPr>
          <w:rFonts w:hint="eastAsia"/>
        </w:rPr>
      </w:pPr>
      <w:r>
        <w:rPr>
          <w:rFonts w:hint="eastAsia"/>
        </w:rPr>
        <w:t xml:space="preserve">cell cloning. Functional T-cell cloning further established a framework </w:t>
      </w:r>
    </w:p>
    <w:p w14:paraId="76029B33">
      <w:pPr>
        <w:pStyle w:val="2"/>
        <w:rPr>
          <w:rFonts w:hint="eastAsia"/>
        </w:rPr>
      </w:pPr>
      <w:r>
        <w:rPr>
          <w:rFonts w:hint="eastAsia"/>
        </w:rPr>
        <w:t xml:space="preserve">connecting antigen specificity, TCR sequence, and pulmonary cell state. </w:t>
      </w:r>
    </w:p>
    <w:p w14:paraId="4BC6B5F3">
      <w:pPr>
        <w:pStyle w:val="2"/>
        <w:rPr>
          <w:rFonts w:hint="eastAsia"/>
        </w:rPr>
      </w:pPr>
      <w:r>
        <w:rPr>
          <w:rFonts w:hint="eastAsia"/>
        </w:rPr>
        <w:t xml:space="preserve">Together, these findings provide a comprehensive atlas of human pulmonary T-cell </w:t>
      </w:r>
    </w:p>
    <w:p w14:paraId="4CC88EAC">
      <w:pPr>
        <w:pStyle w:val="2"/>
        <w:rPr>
          <w:rFonts w:hint="eastAsia"/>
        </w:rPr>
      </w:pPr>
      <w:r>
        <w:rPr>
          <w:rFonts w:hint="eastAsia"/>
        </w:rPr>
        <w:t xml:space="preserve">immunity across the spectrum of TB, identify pulmonary immune features </w:t>
      </w:r>
    </w:p>
    <w:p w14:paraId="6519CD04">
      <w:pPr>
        <w:pStyle w:val="2"/>
        <w:rPr>
          <w:rFonts w:hint="eastAsia"/>
        </w:rPr>
      </w:pPr>
      <w:r>
        <w:rPr>
          <w:rFonts w:hint="eastAsia"/>
        </w:rPr>
        <w:t xml:space="preserve">associated with durable control of infection, and establish an integrated </w:t>
      </w:r>
    </w:p>
    <w:p w14:paraId="6340A0B2">
      <w:pPr>
        <w:pStyle w:val="2"/>
        <w:rPr>
          <w:rFonts w:hint="eastAsia"/>
        </w:rPr>
      </w:pPr>
      <w:r>
        <w:rPr>
          <w:rFonts w:hint="eastAsia"/>
        </w:rPr>
        <w:t xml:space="preserve">platform for defining protective T-cell responses to inform next-generation TB </w:t>
      </w:r>
    </w:p>
    <w:p w14:paraId="30F4ED24">
      <w:pPr>
        <w:pStyle w:val="2"/>
        <w:rPr>
          <w:rFonts w:hint="eastAsia"/>
        </w:rPr>
      </w:pPr>
      <w:r>
        <w:rPr>
          <w:rFonts w:hint="eastAsia"/>
        </w:rPr>
        <w:t>vaccine development.</w:t>
      </w:r>
    </w:p>
    <w:p w14:paraId="7AC24A5E">
      <w:pPr>
        <w:pStyle w:val="2"/>
        <w:rPr>
          <w:rFonts w:hint="eastAsia"/>
        </w:rPr>
      </w:pPr>
    </w:p>
    <w:p w14:paraId="3EC6AE2E">
      <w:pPr>
        <w:pStyle w:val="2"/>
        <w:rPr>
          <w:rFonts w:hint="eastAsia"/>
        </w:rPr>
      </w:pPr>
      <w:r>
        <w:rPr>
          <w:rFonts w:hint="eastAsia"/>
        </w:rPr>
        <w:t>DOI: 10.64898/2026.08.10.743910</w:t>
      </w:r>
    </w:p>
    <w:p w14:paraId="37B03E39">
      <w:pPr>
        <w:pStyle w:val="2"/>
        <w:rPr>
          <w:rFonts w:hint="eastAsia"/>
        </w:rPr>
      </w:pPr>
      <w:r>
        <w:rPr>
          <w:rFonts w:hint="eastAsia"/>
        </w:rPr>
        <w:t>PMCID: PMC13640633</w:t>
      </w:r>
    </w:p>
    <w:p w14:paraId="7BCA8B99">
      <w:pPr>
        <w:pStyle w:val="2"/>
        <w:rPr>
          <w:rFonts w:hint="eastAsia"/>
        </w:rPr>
      </w:pPr>
      <w:r>
        <w:rPr>
          <w:rFonts w:hint="eastAsia"/>
        </w:rPr>
        <w:t>PMID: 42845439</w:t>
      </w:r>
    </w:p>
    <w:p w14:paraId="6060BE40">
      <w:pPr>
        <w:pStyle w:val="2"/>
        <w:rPr>
          <w:rFonts w:hint="eastAsia"/>
        </w:rPr>
      </w:pPr>
    </w:p>
    <w:p w14:paraId="38212A49">
      <w:pPr>
        <w:rPr>
          <w:rFonts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753" w:bottom="1440" w:left="175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388"/>
    <w:rsid w:val="00000EB4"/>
    <w:rsid w:val="00001BCE"/>
    <w:rsid w:val="00004FA0"/>
    <w:rsid w:val="00005480"/>
    <w:rsid w:val="0000548B"/>
    <w:rsid w:val="00005BFA"/>
    <w:rsid w:val="00006312"/>
    <w:rsid w:val="00006445"/>
    <w:rsid w:val="00006AD1"/>
    <w:rsid w:val="00007FE2"/>
    <w:rsid w:val="00010E83"/>
    <w:rsid w:val="0001109E"/>
    <w:rsid w:val="00011EE4"/>
    <w:rsid w:val="00014ACD"/>
    <w:rsid w:val="00014B97"/>
    <w:rsid w:val="00014C5C"/>
    <w:rsid w:val="000151BC"/>
    <w:rsid w:val="000163F8"/>
    <w:rsid w:val="0001793D"/>
    <w:rsid w:val="00017A03"/>
    <w:rsid w:val="00017EFF"/>
    <w:rsid w:val="00020101"/>
    <w:rsid w:val="00020316"/>
    <w:rsid w:val="0002051D"/>
    <w:rsid w:val="00021027"/>
    <w:rsid w:val="00021F93"/>
    <w:rsid w:val="00025A11"/>
    <w:rsid w:val="00026111"/>
    <w:rsid w:val="00026718"/>
    <w:rsid w:val="00030012"/>
    <w:rsid w:val="000309FE"/>
    <w:rsid w:val="000313FC"/>
    <w:rsid w:val="00032CAA"/>
    <w:rsid w:val="00032F94"/>
    <w:rsid w:val="000340CF"/>
    <w:rsid w:val="0003428A"/>
    <w:rsid w:val="00035E04"/>
    <w:rsid w:val="00036F5C"/>
    <w:rsid w:val="000370E0"/>
    <w:rsid w:val="000379B3"/>
    <w:rsid w:val="00037A3B"/>
    <w:rsid w:val="00040872"/>
    <w:rsid w:val="00042020"/>
    <w:rsid w:val="00042414"/>
    <w:rsid w:val="00042556"/>
    <w:rsid w:val="00042899"/>
    <w:rsid w:val="00044A66"/>
    <w:rsid w:val="00044B78"/>
    <w:rsid w:val="00044C28"/>
    <w:rsid w:val="00045FBC"/>
    <w:rsid w:val="000461EE"/>
    <w:rsid w:val="0004682E"/>
    <w:rsid w:val="00047272"/>
    <w:rsid w:val="000474E6"/>
    <w:rsid w:val="00047D13"/>
    <w:rsid w:val="000505E8"/>
    <w:rsid w:val="00050E61"/>
    <w:rsid w:val="00051DD5"/>
    <w:rsid w:val="000527D8"/>
    <w:rsid w:val="00052E5C"/>
    <w:rsid w:val="000531C2"/>
    <w:rsid w:val="0005401D"/>
    <w:rsid w:val="0005489E"/>
    <w:rsid w:val="00054996"/>
    <w:rsid w:val="000549F5"/>
    <w:rsid w:val="000552EE"/>
    <w:rsid w:val="000567C6"/>
    <w:rsid w:val="00056ACF"/>
    <w:rsid w:val="0006072D"/>
    <w:rsid w:val="00060930"/>
    <w:rsid w:val="00061C4E"/>
    <w:rsid w:val="00061F05"/>
    <w:rsid w:val="00062062"/>
    <w:rsid w:val="0006216E"/>
    <w:rsid w:val="0006285F"/>
    <w:rsid w:val="00063F03"/>
    <w:rsid w:val="00064D3B"/>
    <w:rsid w:val="000661FE"/>
    <w:rsid w:val="00067B6F"/>
    <w:rsid w:val="00067C37"/>
    <w:rsid w:val="00070238"/>
    <w:rsid w:val="00070407"/>
    <w:rsid w:val="0007049C"/>
    <w:rsid w:val="00071826"/>
    <w:rsid w:val="00072366"/>
    <w:rsid w:val="000724C3"/>
    <w:rsid w:val="00074388"/>
    <w:rsid w:val="00076272"/>
    <w:rsid w:val="00077EC3"/>
    <w:rsid w:val="000802F3"/>
    <w:rsid w:val="0008127A"/>
    <w:rsid w:val="000814BF"/>
    <w:rsid w:val="00082113"/>
    <w:rsid w:val="000823C5"/>
    <w:rsid w:val="00083685"/>
    <w:rsid w:val="00084FA1"/>
    <w:rsid w:val="00085FFF"/>
    <w:rsid w:val="0008630A"/>
    <w:rsid w:val="00086502"/>
    <w:rsid w:val="00087251"/>
    <w:rsid w:val="00090B3F"/>
    <w:rsid w:val="00090B53"/>
    <w:rsid w:val="0009167A"/>
    <w:rsid w:val="00091781"/>
    <w:rsid w:val="00091D4F"/>
    <w:rsid w:val="0009258E"/>
    <w:rsid w:val="00092CA5"/>
    <w:rsid w:val="00092F7F"/>
    <w:rsid w:val="00093EB4"/>
    <w:rsid w:val="000943C3"/>
    <w:rsid w:val="0009444D"/>
    <w:rsid w:val="00094774"/>
    <w:rsid w:val="00094D1C"/>
    <w:rsid w:val="0009523F"/>
    <w:rsid w:val="000961CE"/>
    <w:rsid w:val="000966AA"/>
    <w:rsid w:val="000A087D"/>
    <w:rsid w:val="000A0ACA"/>
    <w:rsid w:val="000A0F96"/>
    <w:rsid w:val="000A124E"/>
    <w:rsid w:val="000A127A"/>
    <w:rsid w:val="000A1434"/>
    <w:rsid w:val="000A1D4B"/>
    <w:rsid w:val="000A2127"/>
    <w:rsid w:val="000A2D53"/>
    <w:rsid w:val="000A2F2E"/>
    <w:rsid w:val="000A37C7"/>
    <w:rsid w:val="000A3943"/>
    <w:rsid w:val="000A3E0E"/>
    <w:rsid w:val="000A47E7"/>
    <w:rsid w:val="000A496C"/>
    <w:rsid w:val="000A4A7D"/>
    <w:rsid w:val="000A51E6"/>
    <w:rsid w:val="000A5D84"/>
    <w:rsid w:val="000A6101"/>
    <w:rsid w:val="000A72A6"/>
    <w:rsid w:val="000B00E0"/>
    <w:rsid w:val="000B0CA1"/>
    <w:rsid w:val="000B0CAE"/>
    <w:rsid w:val="000B1016"/>
    <w:rsid w:val="000B115F"/>
    <w:rsid w:val="000B13CA"/>
    <w:rsid w:val="000B16AA"/>
    <w:rsid w:val="000B18A0"/>
    <w:rsid w:val="000B2704"/>
    <w:rsid w:val="000B2997"/>
    <w:rsid w:val="000B2D0A"/>
    <w:rsid w:val="000B39CD"/>
    <w:rsid w:val="000B579D"/>
    <w:rsid w:val="000B58BE"/>
    <w:rsid w:val="000B5A38"/>
    <w:rsid w:val="000B5C58"/>
    <w:rsid w:val="000B6618"/>
    <w:rsid w:val="000B6906"/>
    <w:rsid w:val="000B6914"/>
    <w:rsid w:val="000B6D3C"/>
    <w:rsid w:val="000B7B81"/>
    <w:rsid w:val="000B7B97"/>
    <w:rsid w:val="000C04D5"/>
    <w:rsid w:val="000C1093"/>
    <w:rsid w:val="000C3590"/>
    <w:rsid w:val="000C3A90"/>
    <w:rsid w:val="000C488A"/>
    <w:rsid w:val="000C5482"/>
    <w:rsid w:val="000C614D"/>
    <w:rsid w:val="000C683A"/>
    <w:rsid w:val="000C71E1"/>
    <w:rsid w:val="000D02D3"/>
    <w:rsid w:val="000D205B"/>
    <w:rsid w:val="000D2241"/>
    <w:rsid w:val="000D2A9B"/>
    <w:rsid w:val="000D2B94"/>
    <w:rsid w:val="000D2F64"/>
    <w:rsid w:val="000D3403"/>
    <w:rsid w:val="000D5656"/>
    <w:rsid w:val="000D6450"/>
    <w:rsid w:val="000D7BF2"/>
    <w:rsid w:val="000E052F"/>
    <w:rsid w:val="000E2388"/>
    <w:rsid w:val="000E2E0D"/>
    <w:rsid w:val="000E4DF7"/>
    <w:rsid w:val="000E615C"/>
    <w:rsid w:val="000E6A33"/>
    <w:rsid w:val="000E6C23"/>
    <w:rsid w:val="000E713B"/>
    <w:rsid w:val="000F0847"/>
    <w:rsid w:val="000F0A49"/>
    <w:rsid w:val="000F0D00"/>
    <w:rsid w:val="000F1E63"/>
    <w:rsid w:val="000F1FFB"/>
    <w:rsid w:val="000F24D7"/>
    <w:rsid w:val="000F3795"/>
    <w:rsid w:val="000F39E9"/>
    <w:rsid w:val="000F3B6A"/>
    <w:rsid w:val="000F41CE"/>
    <w:rsid w:val="000F5BE2"/>
    <w:rsid w:val="000F6938"/>
    <w:rsid w:val="000F6B20"/>
    <w:rsid w:val="000F7FE8"/>
    <w:rsid w:val="001009A0"/>
    <w:rsid w:val="00100A49"/>
    <w:rsid w:val="00101FDC"/>
    <w:rsid w:val="0010360B"/>
    <w:rsid w:val="00103B38"/>
    <w:rsid w:val="001045B5"/>
    <w:rsid w:val="00104C1E"/>
    <w:rsid w:val="00104CC5"/>
    <w:rsid w:val="00106495"/>
    <w:rsid w:val="001100AE"/>
    <w:rsid w:val="001111F4"/>
    <w:rsid w:val="00112102"/>
    <w:rsid w:val="001128DA"/>
    <w:rsid w:val="00113B07"/>
    <w:rsid w:val="001146C5"/>
    <w:rsid w:val="00115AA0"/>
    <w:rsid w:val="001160B6"/>
    <w:rsid w:val="00117A55"/>
    <w:rsid w:val="00117E9C"/>
    <w:rsid w:val="00120200"/>
    <w:rsid w:val="00120C7E"/>
    <w:rsid w:val="00122BB5"/>
    <w:rsid w:val="00123084"/>
    <w:rsid w:val="0012313C"/>
    <w:rsid w:val="001232FE"/>
    <w:rsid w:val="001239BF"/>
    <w:rsid w:val="00123B2B"/>
    <w:rsid w:val="00123D14"/>
    <w:rsid w:val="00124054"/>
    <w:rsid w:val="00124203"/>
    <w:rsid w:val="00124FA0"/>
    <w:rsid w:val="001250F8"/>
    <w:rsid w:val="001258E8"/>
    <w:rsid w:val="00130332"/>
    <w:rsid w:val="00130522"/>
    <w:rsid w:val="00131064"/>
    <w:rsid w:val="00131D02"/>
    <w:rsid w:val="00131F89"/>
    <w:rsid w:val="00132F05"/>
    <w:rsid w:val="0013385F"/>
    <w:rsid w:val="00133BD7"/>
    <w:rsid w:val="00133F6C"/>
    <w:rsid w:val="0013533E"/>
    <w:rsid w:val="00135AEE"/>
    <w:rsid w:val="00135C60"/>
    <w:rsid w:val="00135D11"/>
    <w:rsid w:val="00137D90"/>
    <w:rsid w:val="001400DC"/>
    <w:rsid w:val="00141D76"/>
    <w:rsid w:val="00142DC2"/>
    <w:rsid w:val="00143C23"/>
    <w:rsid w:val="00143FFB"/>
    <w:rsid w:val="001442A6"/>
    <w:rsid w:val="0014482B"/>
    <w:rsid w:val="00144C21"/>
    <w:rsid w:val="00145536"/>
    <w:rsid w:val="00145858"/>
    <w:rsid w:val="001460E6"/>
    <w:rsid w:val="001462BE"/>
    <w:rsid w:val="0014644D"/>
    <w:rsid w:val="00147542"/>
    <w:rsid w:val="00147E95"/>
    <w:rsid w:val="0015022B"/>
    <w:rsid w:val="00151492"/>
    <w:rsid w:val="0015230D"/>
    <w:rsid w:val="00152842"/>
    <w:rsid w:val="00152DAF"/>
    <w:rsid w:val="00152FFB"/>
    <w:rsid w:val="0015436D"/>
    <w:rsid w:val="0015447B"/>
    <w:rsid w:val="00154EEE"/>
    <w:rsid w:val="001555BE"/>
    <w:rsid w:val="00155DAB"/>
    <w:rsid w:val="0016036F"/>
    <w:rsid w:val="00160D5D"/>
    <w:rsid w:val="00161C58"/>
    <w:rsid w:val="00162024"/>
    <w:rsid w:val="00162396"/>
    <w:rsid w:val="00162E0B"/>
    <w:rsid w:val="001631D1"/>
    <w:rsid w:val="00163933"/>
    <w:rsid w:val="001640F5"/>
    <w:rsid w:val="00165111"/>
    <w:rsid w:val="00166D15"/>
    <w:rsid w:val="00166F6B"/>
    <w:rsid w:val="0016722E"/>
    <w:rsid w:val="001678E4"/>
    <w:rsid w:val="00170981"/>
    <w:rsid w:val="00170E44"/>
    <w:rsid w:val="0017293C"/>
    <w:rsid w:val="001730B3"/>
    <w:rsid w:val="00174CD2"/>
    <w:rsid w:val="00176DAB"/>
    <w:rsid w:val="00176EA2"/>
    <w:rsid w:val="00176EA9"/>
    <w:rsid w:val="001770AB"/>
    <w:rsid w:val="00177782"/>
    <w:rsid w:val="00177890"/>
    <w:rsid w:val="00180BC2"/>
    <w:rsid w:val="00182C81"/>
    <w:rsid w:val="001835CE"/>
    <w:rsid w:val="001840C6"/>
    <w:rsid w:val="00184BE2"/>
    <w:rsid w:val="00185015"/>
    <w:rsid w:val="00185DA7"/>
    <w:rsid w:val="001861C1"/>
    <w:rsid w:val="0018793A"/>
    <w:rsid w:val="00187D7F"/>
    <w:rsid w:val="00187F13"/>
    <w:rsid w:val="00190F37"/>
    <w:rsid w:val="0019686E"/>
    <w:rsid w:val="001A062A"/>
    <w:rsid w:val="001A19AA"/>
    <w:rsid w:val="001A19C3"/>
    <w:rsid w:val="001A24D1"/>
    <w:rsid w:val="001A287C"/>
    <w:rsid w:val="001A2B93"/>
    <w:rsid w:val="001A4CD3"/>
    <w:rsid w:val="001A5A10"/>
    <w:rsid w:val="001A61FD"/>
    <w:rsid w:val="001A7D2B"/>
    <w:rsid w:val="001A7F64"/>
    <w:rsid w:val="001B0C50"/>
    <w:rsid w:val="001B1917"/>
    <w:rsid w:val="001B2378"/>
    <w:rsid w:val="001B2393"/>
    <w:rsid w:val="001B2CC5"/>
    <w:rsid w:val="001B2E1D"/>
    <w:rsid w:val="001B3B23"/>
    <w:rsid w:val="001B407D"/>
    <w:rsid w:val="001B48FB"/>
    <w:rsid w:val="001B6473"/>
    <w:rsid w:val="001B6AA0"/>
    <w:rsid w:val="001C143E"/>
    <w:rsid w:val="001C2157"/>
    <w:rsid w:val="001C2709"/>
    <w:rsid w:val="001C3A11"/>
    <w:rsid w:val="001C4AAF"/>
    <w:rsid w:val="001C5349"/>
    <w:rsid w:val="001C55D4"/>
    <w:rsid w:val="001C6150"/>
    <w:rsid w:val="001C71B1"/>
    <w:rsid w:val="001D094C"/>
    <w:rsid w:val="001D12AE"/>
    <w:rsid w:val="001D135A"/>
    <w:rsid w:val="001D193B"/>
    <w:rsid w:val="001D1977"/>
    <w:rsid w:val="001D1E65"/>
    <w:rsid w:val="001D20AE"/>
    <w:rsid w:val="001D243D"/>
    <w:rsid w:val="001D35E3"/>
    <w:rsid w:val="001D3C91"/>
    <w:rsid w:val="001D49D4"/>
    <w:rsid w:val="001D4AFF"/>
    <w:rsid w:val="001D5338"/>
    <w:rsid w:val="001D6792"/>
    <w:rsid w:val="001D680A"/>
    <w:rsid w:val="001D6B99"/>
    <w:rsid w:val="001D6E95"/>
    <w:rsid w:val="001D7211"/>
    <w:rsid w:val="001E002A"/>
    <w:rsid w:val="001E0F47"/>
    <w:rsid w:val="001E184B"/>
    <w:rsid w:val="001E2408"/>
    <w:rsid w:val="001E3564"/>
    <w:rsid w:val="001E4549"/>
    <w:rsid w:val="001E4901"/>
    <w:rsid w:val="001E4B76"/>
    <w:rsid w:val="001E6B7F"/>
    <w:rsid w:val="001E6C66"/>
    <w:rsid w:val="001E7DBB"/>
    <w:rsid w:val="001E7F12"/>
    <w:rsid w:val="001F0B99"/>
    <w:rsid w:val="001F0D20"/>
    <w:rsid w:val="001F13B5"/>
    <w:rsid w:val="001F1AB3"/>
    <w:rsid w:val="001F1DDA"/>
    <w:rsid w:val="001F223F"/>
    <w:rsid w:val="001F3009"/>
    <w:rsid w:val="001F468E"/>
    <w:rsid w:val="001F47BE"/>
    <w:rsid w:val="001F7758"/>
    <w:rsid w:val="001F7BC3"/>
    <w:rsid w:val="002014D3"/>
    <w:rsid w:val="002017C2"/>
    <w:rsid w:val="00201C77"/>
    <w:rsid w:val="00202B36"/>
    <w:rsid w:val="00203139"/>
    <w:rsid w:val="0020332A"/>
    <w:rsid w:val="00203479"/>
    <w:rsid w:val="002035B2"/>
    <w:rsid w:val="00203A11"/>
    <w:rsid w:val="00204451"/>
    <w:rsid w:val="0020501F"/>
    <w:rsid w:val="0020526D"/>
    <w:rsid w:val="00206168"/>
    <w:rsid w:val="00207270"/>
    <w:rsid w:val="00210B36"/>
    <w:rsid w:val="00211D14"/>
    <w:rsid w:val="00212490"/>
    <w:rsid w:val="0021250D"/>
    <w:rsid w:val="00212E84"/>
    <w:rsid w:val="002140A1"/>
    <w:rsid w:val="00214B74"/>
    <w:rsid w:val="00214C10"/>
    <w:rsid w:val="0021558B"/>
    <w:rsid w:val="00215646"/>
    <w:rsid w:val="00217583"/>
    <w:rsid w:val="00217D7F"/>
    <w:rsid w:val="00217EAC"/>
    <w:rsid w:val="00220375"/>
    <w:rsid w:val="00220876"/>
    <w:rsid w:val="002208AD"/>
    <w:rsid w:val="00222583"/>
    <w:rsid w:val="00222BD1"/>
    <w:rsid w:val="00223A24"/>
    <w:rsid w:val="002245BB"/>
    <w:rsid w:val="00224620"/>
    <w:rsid w:val="002246DD"/>
    <w:rsid w:val="002253AA"/>
    <w:rsid w:val="00225946"/>
    <w:rsid w:val="002259F8"/>
    <w:rsid w:val="00225AA2"/>
    <w:rsid w:val="00225FCA"/>
    <w:rsid w:val="00227A3A"/>
    <w:rsid w:val="00227B06"/>
    <w:rsid w:val="00230527"/>
    <w:rsid w:val="002307EA"/>
    <w:rsid w:val="002310DD"/>
    <w:rsid w:val="002327BB"/>
    <w:rsid w:val="00232D13"/>
    <w:rsid w:val="002341B8"/>
    <w:rsid w:val="00234622"/>
    <w:rsid w:val="002354A4"/>
    <w:rsid w:val="00235C0D"/>
    <w:rsid w:val="0023625F"/>
    <w:rsid w:val="002374E2"/>
    <w:rsid w:val="00237947"/>
    <w:rsid w:val="00237F69"/>
    <w:rsid w:val="0024041B"/>
    <w:rsid w:val="0024169A"/>
    <w:rsid w:val="00241991"/>
    <w:rsid w:val="00241AAF"/>
    <w:rsid w:val="00241CCB"/>
    <w:rsid w:val="00241EF5"/>
    <w:rsid w:val="00243AAC"/>
    <w:rsid w:val="00243CAB"/>
    <w:rsid w:val="00245848"/>
    <w:rsid w:val="00247A30"/>
    <w:rsid w:val="00247DD5"/>
    <w:rsid w:val="00251D15"/>
    <w:rsid w:val="00252055"/>
    <w:rsid w:val="0025206B"/>
    <w:rsid w:val="002521B7"/>
    <w:rsid w:val="002531F0"/>
    <w:rsid w:val="0025385D"/>
    <w:rsid w:val="00254746"/>
    <w:rsid w:val="002549C3"/>
    <w:rsid w:val="002553EB"/>
    <w:rsid w:val="002560F7"/>
    <w:rsid w:val="00261FA0"/>
    <w:rsid w:val="002625F3"/>
    <w:rsid w:val="002627B3"/>
    <w:rsid w:val="0026297A"/>
    <w:rsid w:val="002644D4"/>
    <w:rsid w:val="00264B9F"/>
    <w:rsid w:val="00264CEA"/>
    <w:rsid w:val="00264E19"/>
    <w:rsid w:val="00265139"/>
    <w:rsid w:val="00266E21"/>
    <w:rsid w:val="00267E57"/>
    <w:rsid w:val="00270108"/>
    <w:rsid w:val="00270744"/>
    <w:rsid w:val="00270A23"/>
    <w:rsid w:val="002722A7"/>
    <w:rsid w:val="002728C5"/>
    <w:rsid w:val="00273A9C"/>
    <w:rsid w:val="0027416D"/>
    <w:rsid w:val="00274293"/>
    <w:rsid w:val="00275956"/>
    <w:rsid w:val="00275EC1"/>
    <w:rsid w:val="00277AFE"/>
    <w:rsid w:val="00277F10"/>
    <w:rsid w:val="0028042B"/>
    <w:rsid w:val="00280E39"/>
    <w:rsid w:val="00280F31"/>
    <w:rsid w:val="00281CB1"/>
    <w:rsid w:val="0028209D"/>
    <w:rsid w:val="0028230D"/>
    <w:rsid w:val="00282B0E"/>
    <w:rsid w:val="00282F1F"/>
    <w:rsid w:val="0028314F"/>
    <w:rsid w:val="0028424E"/>
    <w:rsid w:val="002848FA"/>
    <w:rsid w:val="00285197"/>
    <w:rsid w:val="00285319"/>
    <w:rsid w:val="00285E4E"/>
    <w:rsid w:val="0028600C"/>
    <w:rsid w:val="00286550"/>
    <w:rsid w:val="00286887"/>
    <w:rsid w:val="002868D6"/>
    <w:rsid w:val="00286A29"/>
    <w:rsid w:val="002874B2"/>
    <w:rsid w:val="002874EE"/>
    <w:rsid w:val="00287640"/>
    <w:rsid w:val="00290B6B"/>
    <w:rsid w:val="00290E55"/>
    <w:rsid w:val="00290E94"/>
    <w:rsid w:val="00292A20"/>
    <w:rsid w:val="00292BA6"/>
    <w:rsid w:val="00294663"/>
    <w:rsid w:val="00295075"/>
    <w:rsid w:val="00295697"/>
    <w:rsid w:val="00295B81"/>
    <w:rsid w:val="00295B85"/>
    <w:rsid w:val="0029689E"/>
    <w:rsid w:val="00296D7C"/>
    <w:rsid w:val="00296E3B"/>
    <w:rsid w:val="00297519"/>
    <w:rsid w:val="00297B5A"/>
    <w:rsid w:val="00297DED"/>
    <w:rsid w:val="002A042C"/>
    <w:rsid w:val="002A07FE"/>
    <w:rsid w:val="002A0E2E"/>
    <w:rsid w:val="002A0F6A"/>
    <w:rsid w:val="002A1472"/>
    <w:rsid w:val="002A1A26"/>
    <w:rsid w:val="002A1AAB"/>
    <w:rsid w:val="002A1B06"/>
    <w:rsid w:val="002A3C42"/>
    <w:rsid w:val="002A41A5"/>
    <w:rsid w:val="002A547E"/>
    <w:rsid w:val="002A5D78"/>
    <w:rsid w:val="002A65AC"/>
    <w:rsid w:val="002A75CF"/>
    <w:rsid w:val="002A7D07"/>
    <w:rsid w:val="002B16D1"/>
    <w:rsid w:val="002B18EF"/>
    <w:rsid w:val="002B1A87"/>
    <w:rsid w:val="002B3BDD"/>
    <w:rsid w:val="002B3D2D"/>
    <w:rsid w:val="002B4B9B"/>
    <w:rsid w:val="002B5B8F"/>
    <w:rsid w:val="002B6556"/>
    <w:rsid w:val="002B7F0A"/>
    <w:rsid w:val="002C0EEC"/>
    <w:rsid w:val="002C2226"/>
    <w:rsid w:val="002C3527"/>
    <w:rsid w:val="002C589E"/>
    <w:rsid w:val="002C6147"/>
    <w:rsid w:val="002C656A"/>
    <w:rsid w:val="002C6883"/>
    <w:rsid w:val="002C6919"/>
    <w:rsid w:val="002C6A30"/>
    <w:rsid w:val="002C729F"/>
    <w:rsid w:val="002D063A"/>
    <w:rsid w:val="002D1294"/>
    <w:rsid w:val="002D1B15"/>
    <w:rsid w:val="002D259B"/>
    <w:rsid w:val="002D2D2F"/>
    <w:rsid w:val="002D31AF"/>
    <w:rsid w:val="002D38DC"/>
    <w:rsid w:val="002D3BE5"/>
    <w:rsid w:val="002D3C81"/>
    <w:rsid w:val="002D465E"/>
    <w:rsid w:val="002D4F47"/>
    <w:rsid w:val="002D538B"/>
    <w:rsid w:val="002D5586"/>
    <w:rsid w:val="002D5B3D"/>
    <w:rsid w:val="002D724F"/>
    <w:rsid w:val="002D7ADC"/>
    <w:rsid w:val="002E0C52"/>
    <w:rsid w:val="002E131C"/>
    <w:rsid w:val="002E1548"/>
    <w:rsid w:val="002E1CF6"/>
    <w:rsid w:val="002E1DE8"/>
    <w:rsid w:val="002E27A4"/>
    <w:rsid w:val="002E28FD"/>
    <w:rsid w:val="002E3CE7"/>
    <w:rsid w:val="002E40C2"/>
    <w:rsid w:val="002E75F4"/>
    <w:rsid w:val="002E7B15"/>
    <w:rsid w:val="002E7C80"/>
    <w:rsid w:val="002F014F"/>
    <w:rsid w:val="002F1E20"/>
    <w:rsid w:val="002F2207"/>
    <w:rsid w:val="002F3F3D"/>
    <w:rsid w:val="002F476D"/>
    <w:rsid w:val="002F53B0"/>
    <w:rsid w:val="002F6002"/>
    <w:rsid w:val="002F7D45"/>
    <w:rsid w:val="00300B54"/>
    <w:rsid w:val="00300C4C"/>
    <w:rsid w:val="00300CA5"/>
    <w:rsid w:val="00300DAB"/>
    <w:rsid w:val="00301687"/>
    <w:rsid w:val="003029A2"/>
    <w:rsid w:val="00302A36"/>
    <w:rsid w:val="003030D7"/>
    <w:rsid w:val="00303164"/>
    <w:rsid w:val="003040D8"/>
    <w:rsid w:val="0030565A"/>
    <w:rsid w:val="0030587F"/>
    <w:rsid w:val="00305F0C"/>
    <w:rsid w:val="003064FE"/>
    <w:rsid w:val="003074D8"/>
    <w:rsid w:val="003077B3"/>
    <w:rsid w:val="00307B01"/>
    <w:rsid w:val="00307B4A"/>
    <w:rsid w:val="00311A67"/>
    <w:rsid w:val="00311FA9"/>
    <w:rsid w:val="003126AE"/>
    <w:rsid w:val="00312C1D"/>
    <w:rsid w:val="00312E3F"/>
    <w:rsid w:val="0031350B"/>
    <w:rsid w:val="00313587"/>
    <w:rsid w:val="003142FD"/>
    <w:rsid w:val="003146B0"/>
    <w:rsid w:val="003146D6"/>
    <w:rsid w:val="00314966"/>
    <w:rsid w:val="00314BE0"/>
    <w:rsid w:val="00314F1F"/>
    <w:rsid w:val="0031631B"/>
    <w:rsid w:val="00316533"/>
    <w:rsid w:val="00317ED1"/>
    <w:rsid w:val="003209BB"/>
    <w:rsid w:val="003215E0"/>
    <w:rsid w:val="003220BD"/>
    <w:rsid w:val="003226F0"/>
    <w:rsid w:val="0032285D"/>
    <w:rsid w:val="00322D2F"/>
    <w:rsid w:val="0032331B"/>
    <w:rsid w:val="00323932"/>
    <w:rsid w:val="00325675"/>
    <w:rsid w:val="00325F86"/>
    <w:rsid w:val="003269F0"/>
    <w:rsid w:val="003278EB"/>
    <w:rsid w:val="00327C93"/>
    <w:rsid w:val="00330401"/>
    <w:rsid w:val="00330A46"/>
    <w:rsid w:val="0033263C"/>
    <w:rsid w:val="00332F79"/>
    <w:rsid w:val="00333688"/>
    <w:rsid w:val="00333A35"/>
    <w:rsid w:val="00334B36"/>
    <w:rsid w:val="003356DC"/>
    <w:rsid w:val="00335CCC"/>
    <w:rsid w:val="00335F35"/>
    <w:rsid w:val="003363F3"/>
    <w:rsid w:val="00336859"/>
    <w:rsid w:val="00336944"/>
    <w:rsid w:val="003372AB"/>
    <w:rsid w:val="00337545"/>
    <w:rsid w:val="0033783D"/>
    <w:rsid w:val="003406AB"/>
    <w:rsid w:val="00341F54"/>
    <w:rsid w:val="00342039"/>
    <w:rsid w:val="00342091"/>
    <w:rsid w:val="00342913"/>
    <w:rsid w:val="0034466B"/>
    <w:rsid w:val="00344804"/>
    <w:rsid w:val="00346EFA"/>
    <w:rsid w:val="00350F89"/>
    <w:rsid w:val="003529D4"/>
    <w:rsid w:val="003535CE"/>
    <w:rsid w:val="003541CB"/>
    <w:rsid w:val="0036034D"/>
    <w:rsid w:val="00360C14"/>
    <w:rsid w:val="0036168A"/>
    <w:rsid w:val="00362B9A"/>
    <w:rsid w:val="00362EE3"/>
    <w:rsid w:val="003645BC"/>
    <w:rsid w:val="003648C3"/>
    <w:rsid w:val="00364A17"/>
    <w:rsid w:val="00364EE5"/>
    <w:rsid w:val="00365E7B"/>
    <w:rsid w:val="0036630B"/>
    <w:rsid w:val="0036772D"/>
    <w:rsid w:val="00370021"/>
    <w:rsid w:val="00370067"/>
    <w:rsid w:val="00370FE4"/>
    <w:rsid w:val="003712DE"/>
    <w:rsid w:val="003718DB"/>
    <w:rsid w:val="00372093"/>
    <w:rsid w:val="003736DE"/>
    <w:rsid w:val="003738F1"/>
    <w:rsid w:val="00375393"/>
    <w:rsid w:val="003759FA"/>
    <w:rsid w:val="00375EDD"/>
    <w:rsid w:val="00376FA2"/>
    <w:rsid w:val="00377122"/>
    <w:rsid w:val="003777B5"/>
    <w:rsid w:val="0038000A"/>
    <w:rsid w:val="0038007F"/>
    <w:rsid w:val="00380B8A"/>
    <w:rsid w:val="00380E38"/>
    <w:rsid w:val="00380E48"/>
    <w:rsid w:val="0038188B"/>
    <w:rsid w:val="00381BDE"/>
    <w:rsid w:val="00381CCA"/>
    <w:rsid w:val="00383DE7"/>
    <w:rsid w:val="00384F9F"/>
    <w:rsid w:val="0038579F"/>
    <w:rsid w:val="00385874"/>
    <w:rsid w:val="0038597F"/>
    <w:rsid w:val="003909A2"/>
    <w:rsid w:val="00391EB5"/>
    <w:rsid w:val="00392265"/>
    <w:rsid w:val="00392AC6"/>
    <w:rsid w:val="00393A15"/>
    <w:rsid w:val="00393DEA"/>
    <w:rsid w:val="003946E6"/>
    <w:rsid w:val="00394EE4"/>
    <w:rsid w:val="00396814"/>
    <w:rsid w:val="00396D0C"/>
    <w:rsid w:val="00397151"/>
    <w:rsid w:val="00397B01"/>
    <w:rsid w:val="00397FD1"/>
    <w:rsid w:val="003A0553"/>
    <w:rsid w:val="003A0926"/>
    <w:rsid w:val="003A1FAA"/>
    <w:rsid w:val="003A1FFA"/>
    <w:rsid w:val="003A444E"/>
    <w:rsid w:val="003A58E9"/>
    <w:rsid w:val="003A78A7"/>
    <w:rsid w:val="003A79FB"/>
    <w:rsid w:val="003B0585"/>
    <w:rsid w:val="003B066E"/>
    <w:rsid w:val="003B0F3B"/>
    <w:rsid w:val="003B14F6"/>
    <w:rsid w:val="003B1A72"/>
    <w:rsid w:val="003B2353"/>
    <w:rsid w:val="003B2FBC"/>
    <w:rsid w:val="003B3FE2"/>
    <w:rsid w:val="003B42D8"/>
    <w:rsid w:val="003B4B60"/>
    <w:rsid w:val="003B5AED"/>
    <w:rsid w:val="003B7E64"/>
    <w:rsid w:val="003B7EE8"/>
    <w:rsid w:val="003C18CE"/>
    <w:rsid w:val="003C237E"/>
    <w:rsid w:val="003C323A"/>
    <w:rsid w:val="003C3D28"/>
    <w:rsid w:val="003C455F"/>
    <w:rsid w:val="003C4CED"/>
    <w:rsid w:val="003C5A64"/>
    <w:rsid w:val="003C750E"/>
    <w:rsid w:val="003C7907"/>
    <w:rsid w:val="003C7F17"/>
    <w:rsid w:val="003D03AE"/>
    <w:rsid w:val="003D0460"/>
    <w:rsid w:val="003D04A0"/>
    <w:rsid w:val="003D070F"/>
    <w:rsid w:val="003D09D8"/>
    <w:rsid w:val="003D1089"/>
    <w:rsid w:val="003D1633"/>
    <w:rsid w:val="003D1D73"/>
    <w:rsid w:val="003D357E"/>
    <w:rsid w:val="003D46F1"/>
    <w:rsid w:val="003D5569"/>
    <w:rsid w:val="003D6513"/>
    <w:rsid w:val="003E00FA"/>
    <w:rsid w:val="003E083A"/>
    <w:rsid w:val="003E1C2A"/>
    <w:rsid w:val="003E3CDD"/>
    <w:rsid w:val="003E4726"/>
    <w:rsid w:val="003E4DBD"/>
    <w:rsid w:val="003E6317"/>
    <w:rsid w:val="003E71B7"/>
    <w:rsid w:val="003E7B60"/>
    <w:rsid w:val="003E7ED3"/>
    <w:rsid w:val="003E7F6D"/>
    <w:rsid w:val="003F0272"/>
    <w:rsid w:val="003F031F"/>
    <w:rsid w:val="003F08C1"/>
    <w:rsid w:val="003F0AD7"/>
    <w:rsid w:val="003F2BA8"/>
    <w:rsid w:val="003F4118"/>
    <w:rsid w:val="003F4499"/>
    <w:rsid w:val="003F5554"/>
    <w:rsid w:val="003F57D2"/>
    <w:rsid w:val="00401169"/>
    <w:rsid w:val="00401365"/>
    <w:rsid w:val="00401A85"/>
    <w:rsid w:val="00403465"/>
    <w:rsid w:val="00406903"/>
    <w:rsid w:val="0040767C"/>
    <w:rsid w:val="00407CFA"/>
    <w:rsid w:val="004101F1"/>
    <w:rsid w:val="00410F68"/>
    <w:rsid w:val="0041101A"/>
    <w:rsid w:val="00411B7C"/>
    <w:rsid w:val="004151E5"/>
    <w:rsid w:val="00415641"/>
    <w:rsid w:val="00415C72"/>
    <w:rsid w:val="00417747"/>
    <w:rsid w:val="00417B69"/>
    <w:rsid w:val="00417BBC"/>
    <w:rsid w:val="004209F6"/>
    <w:rsid w:val="00420CA6"/>
    <w:rsid w:val="00421470"/>
    <w:rsid w:val="00421A67"/>
    <w:rsid w:val="004226A8"/>
    <w:rsid w:val="00422E27"/>
    <w:rsid w:val="00423A83"/>
    <w:rsid w:val="004241F2"/>
    <w:rsid w:val="00427072"/>
    <w:rsid w:val="00427D12"/>
    <w:rsid w:val="00430C9D"/>
    <w:rsid w:val="00431303"/>
    <w:rsid w:val="00431605"/>
    <w:rsid w:val="004317E7"/>
    <w:rsid w:val="00431BD7"/>
    <w:rsid w:val="0043259D"/>
    <w:rsid w:val="004326CB"/>
    <w:rsid w:val="0043364E"/>
    <w:rsid w:val="004337CA"/>
    <w:rsid w:val="004339F5"/>
    <w:rsid w:val="00434DB0"/>
    <w:rsid w:val="0043521F"/>
    <w:rsid w:val="004369E9"/>
    <w:rsid w:val="00437FB0"/>
    <w:rsid w:val="00440A9B"/>
    <w:rsid w:val="00441CB7"/>
    <w:rsid w:val="00442959"/>
    <w:rsid w:val="00442B95"/>
    <w:rsid w:val="00443E05"/>
    <w:rsid w:val="004440BA"/>
    <w:rsid w:val="004450FB"/>
    <w:rsid w:val="00445797"/>
    <w:rsid w:val="00445F7F"/>
    <w:rsid w:val="0044721A"/>
    <w:rsid w:val="00447302"/>
    <w:rsid w:val="0044758E"/>
    <w:rsid w:val="004476CA"/>
    <w:rsid w:val="00447F3E"/>
    <w:rsid w:val="004504D9"/>
    <w:rsid w:val="00451AAB"/>
    <w:rsid w:val="0045391C"/>
    <w:rsid w:val="00453DFE"/>
    <w:rsid w:val="00454592"/>
    <w:rsid w:val="00455971"/>
    <w:rsid w:val="00456CD2"/>
    <w:rsid w:val="00457209"/>
    <w:rsid w:val="00457EE1"/>
    <w:rsid w:val="004600C7"/>
    <w:rsid w:val="0046037D"/>
    <w:rsid w:val="004607EA"/>
    <w:rsid w:val="004610B6"/>
    <w:rsid w:val="004638B4"/>
    <w:rsid w:val="00463D21"/>
    <w:rsid w:val="00463E85"/>
    <w:rsid w:val="00465181"/>
    <w:rsid w:val="004656EA"/>
    <w:rsid w:val="00465FAF"/>
    <w:rsid w:val="00466B16"/>
    <w:rsid w:val="00466CA2"/>
    <w:rsid w:val="00467E83"/>
    <w:rsid w:val="00470778"/>
    <w:rsid w:val="00470B22"/>
    <w:rsid w:val="004716E4"/>
    <w:rsid w:val="0047269D"/>
    <w:rsid w:val="00472728"/>
    <w:rsid w:val="00472B29"/>
    <w:rsid w:val="00472DC5"/>
    <w:rsid w:val="00473003"/>
    <w:rsid w:val="00473333"/>
    <w:rsid w:val="0047337D"/>
    <w:rsid w:val="00473D73"/>
    <w:rsid w:val="004743FF"/>
    <w:rsid w:val="00474913"/>
    <w:rsid w:val="00474C3C"/>
    <w:rsid w:val="00475D28"/>
    <w:rsid w:val="004762C9"/>
    <w:rsid w:val="00476368"/>
    <w:rsid w:val="004776FB"/>
    <w:rsid w:val="004779D6"/>
    <w:rsid w:val="00480FE5"/>
    <w:rsid w:val="00481EE3"/>
    <w:rsid w:val="004822D6"/>
    <w:rsid w:val="0048348C"/>
    <w:rsid w:val="0048387A"/>
    <w:rsid w:val="00483D06"/>
    <w:rsid w:val="004841C3"/>
    <w:rsid w:val="004843C9"/>
    <w:rsid w:val="0048441B"/>
    <w:rsid w:val="00486346"/>
    <w:rsid w:val="004876BB"/>
    <w:rsid w:val="00487B5D"/>
    <w:rsid w:val="00487D04"/>
    <w:rsid w:val="004901C9"/>
    <w:rsid w:val="00490B2D"/>
    <w:rsid w:val="00491411"/>
    <w:rsid w:val="00491706"/>
    <w:rsid w:val="00493AC3"/>
    <w:rsid w:val="00493E36"/>
    <w:rsid w:val="00495E53"/>
    <w:rsid w:val="00496279"/>
    <w:rsid w:val="004962D2"/>
    <w:rsid w:val="00496518"/>
    <w:rsid w:val="00496A6E"/>
    <w:rsid w:val="004977DA"/>
    <w:rsid w:val="004A016E"/>
    <w:rsid w:val="004A09AB"/>
    <w:rsid w:val="004A1372"/>
    <w:rsid w:val="004A170F"/>
    <w:rsid w:val="004A2A82"/>
    <w:rsid w:val="004A4DB0"/>
    <w:rsid w:val="004A519B"/>
    <w:rsid w:val="004A53E7"/>
    <w:rsid w:val="004A5A3E"/>
    <w:rsid w:val="004A7F7B"/>
    <w:rsid w:val="004A7FBC"/>
    <w:rsid w:val="004B18EA"/>
    <w:rsid w:val="004B1D4D"/>
    <w:rsid w:val="004B350E"/>
    <w:rsid w:val="004B37DE"/>
    <w:rsid w:val="004B4871"/>
    <w:rsid w:val="004B5059"/>
    <w:rsid w:val="004B5B91"/>
    <w:rsid w:val="004B5DF7"/>
    <w:rsid w:val="004B5EFA"/>
    <w:rsid w:val="004B6026"/>
    <w:rsid w:val="004B6861"/>
    <w:rsid w:val="004B7990"/>
    <w:rsid w:val="004B7CF2"/>
    <w:rsid w:val="004C0279"/>
    <w:rsid w:val="004C036D"/>
    <w:rsid w:val="004C0B6E"/>
    <w:rsid w:val="004C1340"/>
    <w:rsid w:val="004C1FE4"/>
    <w:rsid w:val="004C2F84"/>
    <w:rsid w:val="004C3887"/>
    <w:rsid w:val="004C38BD"/>
    <w:rsid w:val="004C3D5D"/>
    <w:rsid w:val="004C3EBD"/>
    <w:rsid w:val="004C44E8"/>
    <w:rsid w:val="004C498E"/>
    <w:rsid w:val="004C4F6F"/>
    <w:rsid w:val="004C5885"/>
    <w:rsid w:val="004C6DDA"/>
    <w:rsid w:val="004C6F15"/>
    <w:rsid w:val="004D13E4"/>
    <w:rsid w:val="004D1EFB"/>
    <w:rsid w:val="004D3490"/>
    <w:rsid w:val="004D499C"/>
    <w:rsid w:val="004D55EA"/>
    <w:rsid w:val="004D716B"/>
    <w:rsid w:val="004D759F"/>
    <w:rsid w:val="004D7C05"/>
    <w:rsid w:val="004E006F"/>
    <w:rsid w:val="004E06C3"/>
    <w:rsid w:val="004E0F3C"/>
    <w:rsid w:val="004E1549"/>
    <w:rsid w:val="004E16E6"/>
    <w:rsid w:val="004E38B3"/>
    <w:rsid w:val="004E39F3"/>
    <w:rsid w:val="004E3AA1"/>
    <w:rsid w:val="004E3BEC"/>
    <w:rsid w:val="004E58E5"/>
    <w:rsid w:val="004E6304"/>
    <w:rsid w:val="004E64F0"/>
    <w:rsid w:val="004E6833"/>
    <w:rsid w:val="004E6FA6"/>
    <w:rsid w:val="004E723F"/>
    <w:rsid w:val="004E7A20"/>
    <w:rsid w:val="004F0CA6"/>
    <w:rsid w:val="004F1C58"/>
    <w:rsid w:val="004F1E5E"/>
    <w:rsid w:val="004F2478"/>
    <w:rsid w:val="004F2E12"/>
    <w:rsid w:val="004F3262"/>
    <w:rsid w:val="004F332B"/>
    <w:rsid w:val="004F3330"/>
    <w:rsid w:val="004F36A2"/>
    <w:rsid w:val="004F3E69"/>
    <w:rsid w:val="004F40F4"/>
    <w:rsid w:val="004F41D3"/>
    <w:rsid w:val="004F4C4D"/>
    <w:rsid w:val="004F4EBC"/>
    <w:rsid w:val="004F57F1"/>
    <w:rsid w:val="004F5A8B"/>
    <w:rsid w:val="004F5D28"/>
    <w:rsid w:val="004F6376"/>
    <w:rsid w:val="004F7CB6"/>
    <w:rsid w:val="004F7F18"/>
    <w:rsid w:val="00500140"/>
    <w:rsid w:val="00500BE7"/>
    <w:rsid w:val="00500F3F"/>
    <w:rsid w:val="00501280"/>
    <w:rsid w:val="00501308"/>
    <w:rsid w:val="00502292"/>
    <w:rsid w:val="00502897"/>
    <w:rsid w:val="00503AE4"/>
    <w:rsid w:val="00503D99"/>
    <w:rsid w:val="005045BA"/>
    <w:rsid w:val="00505213"/>
    <w:rsid w:val="0050552F"/>
    <w:rsid w:val="00505661"/>
    <w:rsid w:val="00505AA2"/>
    <w:rsid w:val="005062F4"/>
    <w:rsid w:val="00510435"/>
    <w:rsid w:val="00510FA6"/>
    <w:rsid w:val="005119D2"/>
    <w:rsid w:val="00512AB0"/>
    <w:rsid w:val="005131D8"/>
    <w:rsid w:val="00514976"/>
    <w:rsid w:val="00516177"/>
    <w:rsid w:val="00520E52"/>
    <w:rsid w:val="00520FC7"/>
    <w:rsid w:val="005227BB"/>
    <w:rsid w:val="0052307E"/>
    <w:rsid w:val="00523642"/>
    <w:rsid w:val="00524110"/>
    <w:rsid w:val="005256F9"/>
    <w:rsid w:val="00526B7C"/>
    <w:rsid w:val="00527B5D"/>
    <w:rsid w:val="00527D60"/>
    <w:rsid w:val="00531720"/>
    <w:rsid w:val="0053254B"/>
    <w:rsid w:val="00532DDD"/>
    <w:rsid w:val="0053308B"/>
    <w:rsid w:val="005343D5"/>
    <w:rsid w:val="00534F88"/>
    <w:rsid w:val="00536087"/>
    <w:rsid w:val="00537779"/>
    <w:rsid w:val="00542E4A"/>
    <w:rsid w:val="00543083"/>
    <w:rsid w:val="005434E7"/>
    <w:rsid w:val="005440A1"/>
    <w:rsid w:val="00544FD6"/>
    <w:rsid w:val="0054651E"/>
    <w:rsid w:val="005500BE"/>
    <w:rsid w:val="005500FD"/>
    <w:rsid w:val="00550355"/>
    <w:rsid w:val="0055091D"/>
    <w:rsid w:val="0055158B"/>
    <w:rsid w:val="0055176C"/>
    <w:rsid w:val="00552259"/>
    <w:rsid w:val="00552BCF"/>
    <w:rsid w:val="005533A6"/>
    <w:rsid w:val="00553431"/>
    <w:rsid w:val="00555475"/>
    <w:rsid w:val="005559FD"/>
    <w:rsid w:val="00555CF2"/>
    <w:rsid w:val="00556014"/>
    <w:rsid w:val="005568CE"/>
    <w:rsid w:val="0055724C"/>
    <w:rsid w:val="00560012"/>
    <w:rsid w:val="005604C8"/>
    <w:rsid w:val="005605CF"/>
    <w:rsid w:val="00560A49"/>
    <w:rsid w:val="00560F93"/>
    <w:rsid w:val="00561556"/>
    <w:rsid w:val="00561FD6"/>
    <w:rsid w:val="00562A0C"/>
    <w:rsid w:val="0056623A"/>
    <w:rsid w:val="00566C79"/>
    <w:rsid w:val="0056769E"/>
    <w:rsid w:val="005719A9"/>
    <w:rsid w:val="00571A07"/>
    <w:rsid w:val="0057219F"/>
    <w:rsid w:val="00573AF6"/>
    <w:rsid w:val="00573EFB"/>
    <w:rsid w:val="00574E7D"/>
    <w:rsid w:val="00575028"/>
    <w:rsid w:val="005767DF"/>
    <w:rsid w:val="00577E7F"/>
    <w:rsid w:val="00580397"/>
    <w:rsid w:val="00580E33"/>
    <w:rsid w:val="00580FA1"/>
    <w:rsid w:val="00580FB2"/>
    <w:rsid w:val="00581EB5"/>
    <w:rsid w:val="00582355"/>
    <w:rsid w:val="00582D45"/>
    <w:rsid w:val="005836A3"/>
    <w:rsid w:val="00583FC8"/>
    <w:rsid w:val="00584AA2"/>
    <w:rsid w:val="00584BFE"/>
    <w:rsid w:val="00584C0C"/>
    <w:rsid w:val="005859CD"/>
    <w:rsid w:val="00585CCD"/>
    <w:rsid w:val="005862F9"/>
    <w:rsid w:val="005867AE"/>
    <w:rsid w:val="00586A6E"/>
    <w:rsid w:val="00587EE0"/>
    <w:rsid w:val="00590CBE"/>
    <w:rsid w:val="00591070"/>
    <w:rsid w:val="00591ADA"/>
    <w:rsid w:val="00594704"/>
    <w:rsid w:val="00594978"/>
    <w:rsid w:val="00594EFF"/>
    <w:rsid w:val="0059543C"/>
    <w:rsid w:val="00596664"/>
    <w:rsid w:val="00597FD4"/>
    <w:rsid w:val="005A1713"/>
    <w:rsid w:val="005A1A36"/>
    <w:rsid w:val="005A1B0A"/>
    <w:rsid w:val="005A1D3F"/>
    <w:rsid w:val="005A1FAA"/>
    <w:rsid w:val="005A30EB"/>
    <w:rsid w:val="005A365F"/>
    <w:rsid w:val="005A3ADD"/>
    <w:rsid w:val="005A5BB5"/>
    <w:rsid w:val="005A5DD5"/>
    <w:rsid w:val="005A6500"/>
    <w:rsid w:val="005A6820"/>
    <w:rsid w:val="005A7CE5"/>
    <w:rsid w:val="005B0A3B"/>
    <w:rsid w:val="005B14FD"/>
    <w:rsid w:val="005B1604"/>
    <w:rsid w:val="005B21CB"/>
    <w:rsid w:val="005B26BF"/>
    <w:rsid w:val="005B2B9A"/>
    <w:rsid w:val="005B336A"/>
    <w:rsid w:val="005B33E8"/>
    <w:rsid w:val="005B3BC9"/>
    <w:rsid w:val="005B3D4D"/>
    <w:rsid w:val="005B685E"/>
    <w:rsid w:val="005B6963"/>
    <w:rsid w:val="005B7F51"/>
    <w:rsid w:val="005C0117"/>
    <w:rsid w:val="005C04D7"/>
    <w:rsid w:val="005C6417"/>
    <w:rsid w:val="005C7568"/>
    <w:rsid w:val="005D2499"/>
    <w:rsid w:val="005D46EA"/>
    <w:rsid w:val="005D4FAA"/>
    <w:rsid w:val="005D566E"/>
    <w:rsid w:val="005E0302"/>
    <w:rsid w:val="005E0886"/>
    <w:rsid w:val="005E243B"/>
    <w:rsid w:val="005E3253"/>
    <w:rsid w:val="005E368E"/>
    <w:rsid w:val="005E3881"/>
    <w:rsid w:val="005E3A20"/>
    <w:rsid w:val="005E4EAB"/>
    <w:rsid w:val="005E5788"/>
    <w:rsid w:val="005E5E8B"/>
    <w:rsid w:val="005E73DF"/>
    <w:rsid w:val="005E7678"/>
    <w:rsid w:val="005E77ED"/>
    <w:rsid w:val="005F36F0"/>
    <w:rsid w:val="005F4DFE"/>
    <w:rsid w:val="005F665A"/>
    <w:rsid w:val="005F66C8"/>
    <w:rsid w:val="005F6B69"/>
    <w:rsid w:val="005F6E87"/>
    <w:rsid w:val="005F7CD3"/>
    <w:rsid w:val="005F7CDC"/>
    <w:rsid w:val="00601843"/>
    <w:rsid w:val="0060267D"/>
    <w:rsid w:val="00603941"/>
    <w:rsid w:val="00603A4A"/>
    <w:rsid w:val="00604600"/>
    <w:rsid w:val="00605731"/>
    <w:rsid w:val="00605D18"/>
    <w:rsid w:val="006065CD"/>
    <w:rsid w:val="0060733E"/>
    <w:rsid w:val="0060746E"/>
    <w:rsid w:val="00607800"/>
    <w:rsid w:val="00607A7E"/>
    <w:rsid w:val="0061122C"/>
    <w:rsid w:val="0061137F"/>
    <w:rsid w:val="0061279E"/>
    <w:rsid w:val="00612904"/>
    <w:rsid w:val="00612C03"/>
    <w:rsid w:val="00614034"/>
    <w:rsid w:val="00614057"/>
    <w:rsid w:val="006146AA"/>
    <w:rsid w:val="00614D50"/>
    <w:rsid w:val="00615240"/>
    <w:rsid w:val="00617459"/>
    <w:rsid w:val="00620628"/>
    <w:rsid w:val="00620942"/>
    <w:rsid w:val="006214DA"/>
    <w:rsid w:val="006221C0"/>
    <w:rsid w:val="00622294"/>
    <w:rsid w:val="0062411A"/>
    <w:rsid w:val="006246C9"/>
    <w:rsid w:val="0062475A"/>
    <w:rsid w:val="006259BB"/>
    <w:rsid w:val="00626322"/>
    <w:rsid w:val="006268F3"/>
    <w:rsid w:val="00626ABB"/>
    <w:rsid w:val="006276AC"/>
    <w:rsid w:val="006304DE"/>
    <w:rsid w:val="00630676"/>
    <w:rsid w:val="006308E8"/>
    <w:rsid w:val="00630A8A"/>
    <w:rsid w:val="00630FE5"/>
    <w:rsid w:val="0063276D"/>
    <w:rsid w:val="00632EAA"/>
    <w:rsid w:val="00634070"/>
    <w:rsid w:val="00634756"/>
    <w:rsid w:val="0063675E"/>
    <w:rsid w:val="00636DBE"/>
    <w:rsid w:val="00637ABC"/>
    <w:rsid w:val="00640BE3"/>
    <w:rsid w:val="006423D9"/>
    <w:rsid w:val="00642548"/>
    <w:rsid w:val="00642FD9"/>
    <w:rsid w:val="00643A42"/>
    <w:rsid w:val="00644819"/>
    <w:rsid w:val="00644A7E"/>
    <w:rsid w:val="006457E1"/>
    <w:rsid w:val="0064584B"/>
    <w:rsid w:val="00645C55"/>
    <w:rsid w:val="00645D15"/>
    <w:rsid w:val="00645DBD"/>
    <w:rsid w:val="00647B03"/>
    <w:rsid w:val="006501EE"/>
    <w:rsid w:val="0065022E"/>
    <w:rsid w:val="00650944"/>
    <w:rsid w:val="0065216A"/>
    <w:rsid w:val="00652A4F"/>
    <w:rsid w:val="00653E9B"/>
    <w:rsid w:val="0065478C"/>
    <w:rsid w:val="00655260"/>
    <w:rsid w:val="006553A2"/>
    <w:rsid w:val="00656486"/>
    <w:rsid w:val="00660339"/>
    <w:rsid w:val="00660A4C"/>
    <w:rsid w:val="00662C6F"/>
    <w:rsid w:val="00663451"/>
    <w:rsid w:val="0066396D"/>
    <w:rsid w:val="00665757"/>
    <w:rsid w:val="00666F8E"/>
    <w:rsid w:val="00670279"/>
    <w:rsid w:val="006707A1"/>
    <w:rsid w:val="00671ADF"/>
    <w:rsid w:val="00671C09"/>
    <w:rsid w:val="006725C1"/>
    <w:rsid w:val="006728FE"/>
    <w:rsid w:val="00672F9F"/>
    <w:rsid w:val="00673D83"/>
    <w:rsid w:val="00674865"/>
    <w:rsid w:val="006751A5"/>
    <w:rsid w:val="00675412"/>
    <w:rsid w:val="006765E9"/>
    <w:rsid w:val="00676B7D"/>
    <w:rsid w:val="00676C52"/>
    <w:rsid w:val="00676CDC"/>
    <w:rsid w:val="0067732F"/>
    <w:rsid w:val="00677367"/>
    <w:rsid w:val="00680351"/>
    <w:rsid w:val="006805D5"/>
    <w:rsid w:val="00681486"/>
    <w:rsid w:val="00681783"/>
    <w:rsid w:val="00682B47"/>
    <w:rsid w:val="00682B87"/>
    <w:rsid w:val="00682DA4"/>
    <w:rsid w:val="00683E1A"/>
    <w:rsid w:val="006853BD"/>
    <w:rsid w:val="00685B2F"/>
    <w:rsid w:val="0068688D"/>
    <w:rsid w:val="00686E49"/>
    <w:rsid w:val="00687C5A"/>
    <w:rsid w:val="00690174"/>
    <w:rsid w:val="00690588"/>
    <w:rsid w:val="0069110E"/>
    <w:rsid w:val="00692029"/>
    <w:rsid w:val="00693354"/>
    <w:rsid w:val="0069353B"/>
    <w:rsid w:val="006936D5"/>
    <w:rsid w:val="00693AAB"/>
    <w:rsid w:val="00693B45"/>
    <w:rsid w:val="00694CCE"/>
    <w:rsid w:val="0069536D"/>
    <w:rsid w:val="00695883"/>
    <w:rsid w:val="00695C08"/>
    <w:rsid w:val="0069605C"/>
    <w:rsid w:val="00696B95"/>
    <w:rsid w:val="00697748"/>
    <w:rsid w:val="00697925"/>
    <w:rsid w:val="00697F17"/>
    <w:rsid w:val="006A26ED"/>
    <w:rsid w:val="006A288A"/>
    <w:rsid w:val="006A2991"/>
    <w:rsid w:val="006A389B"/>
    <w:rsid w:val="006A39F1"/>
    <w:rsid w:val="006A45A7"/>
    <w:rsid w:val="006A476A"/>
    <w:rsid w:val="006A49D8"/>
    <w:rsid w:val="006A5421"/>
    <w:rsid w:val="006A559E"/>
    <w:rsid w:val="006A64A1"/>
    <w:rsid w:val="006A6BA0"/>
    <w:rsid w:val="006B0B94"/>
    <w:rsid w:val="006B0BB7"/>
    <w:rsid w:val="006B19D3"/>
    <w:rsid w:val="006B1A82"/>
    <w:rsid w:val="006B1BD4"/>
    <w:rsid w:val="006B203F"/>
    <w:rsid w:val="006B257F"/>
    <w:rsid w:val="006B313B"/>
    <w:rsid w:val="006B49EC"/>
    <w:rsid w:val="006B4E7B"/>
    <w:rsid w:val="006B5D1B"/>
    <w:rsid w:val="006B5FD8"/>
    <w:rsid w:val="006B61E7"/>
    <w:rsid w:val="006B76F2"/>
    <w:rsid w:val="006B77EE"/>
    <w:rsid w:val="006B7918"/>
    <w:rsid w:val="006C09CB"/>
    <w:rsid w:val="006C139C"/>
    <w:rsid w:val="006C1614"/>
    <w:rsid w:val="006C3F55"/>
    <w:rsid w:val="006C4E9E"/>
    <w:rsid w:val="006C598B"/>
    <w:rsid w:val="006C613E"/>
    <w:rsid w:val="006C64AA"/>
    <w:rsid w:val="006C6659"/>
    <w:rsid w:val="006C751A"/>
    <w:rsid w:val="006C7BDE"/>
    <w:rsid w:val="006D0305"/>
    <w:rsid w:val="006D0AEC"/>
    <w:rsid w:val="006D188E"/>
    <w:rsid w:val="006D2ACD"/>
    <w:rsid w:val="006D2B74"/>
    <w:rsid w:val="006D5356"/>
    <w:rsid w:val="006D58CE"/>
    <w:rsid w:val="006D68F1"/>
    <w:rsid w:val="006D7065"/>
    <w:rsid w:val="006E2E53"/>
    <w:rsid w:val="006E31D9"/>
    <w:rsid w:val="006E57D3"/>
    <w:rsid w:val="006E5B89"/>
    <w:rsid w:val="006E5CEC"/>
    <w:rsid w:val="006E64E2"/>
    <w:rsid w:val="006E7A68"/>
    <w:rsid w:val="006E7D6C"/>
    <w:rsid w:val="006F086B"/>
    <w:rsid w:val="006F103D"/>
    <w:rsid w:val="006F161D"/>
    <w:rsid w:val="006F1B13"/>
    <w:rsid w:val="006F31B9"/>
    <w:rsid w:val="006F4F52"/>
    <w:rsid w:val="006F5310"/>
    <w:rsid w:val="006F5843"/>
    <w:rsid w:val="006F6C83"/>
    <w:rsid w:val="006F783B"/>
    <w:rsid w:val="006F7BE3"/>
    <w:rsid w:val="0070113E"/>
    <w:rsid w:val="0070150F"/>
    <w:rsid w:val="00701DDD"/>
    <w:rsid w:val="007026D3"/>
    <w:rsid w:val="0070283B"/>
    <w:rsid w:val="00702DF3"/>
    <w:rsid w:val="00703052"/>
    <w:rsid w:val="00703ABB"/>
    <w:rsid w:val="00704642"/>
    <w:rsid w:val="007049B7"/>
    <w:rsid w:val="0070562F"/>
    <w:rsid w:val="007060AB"/>
    <w:rsid w:val="007066F4"/>
    <w:rsid w:val="00706749"/>
    <w:rsid w:val="007068C8"/>
    <w:rsid w:val="0070719A"/>
    <w:rsid w:val="007076B3"/>
    <w:rsid w:val="00707F3F"/>
    <w:rsid w:val="00710372"/>
    <w:rsid w:val="00710B2F"/>
    <w:rsid w:val="00710F02"/>
    <w:rsid w:val="007116B2"/>
    <w:rsid w:val="00711992"/>
    <w:rsid w:val="0071273C"/>
    <w:rsid w:val="00715717"/>
    <w:rsid w:val="00716A2C"/>
    <w:rsid w:val="00717026"/>
    <w:rsid w:val="00717C7B"/>
    <w:rsid w:val="00717DAD"/>
    <w:rsid w:val="007205E8"/>
    <w:rsid w:val="00720E51"/>
    <w:rsid w:val="007214B7"/>
    <w:rsid w:val="00723162"/>
    <w:rsid w:val="007233A8"/>
    <w:rsid w:val="00724FE4"/>
    <w:rsid w:val="00725D1A"/>
    <w:rsid w:val="00730E88"/>
    <w:rsid w:val="007323CD"/>
    <w:rsid w:val="00733B24"/>
    <w:rsid w:val="007340EE"/>
    <w:rsid w:val="00734C38"/>
    <w:rsid w:val="00734C7D"/>
    <w:rsid w:val="007365F0"/>
    <w:rsid w:val="00736A6E"/>
    <w:rsid w:val="00737D18"/>
    <w:rsid w:val="007424C3"/>
    <w:rsid w:val="00742CA2"/>
    <w:rsid w:val="00742DE8"/>
    <w:rsid w:val="00742E73"/>
    <w:rsid w:val="00743D96"/>
    <w:rsid w:val="007444E6"/>
    <w:rsid w:val="007469DD"/>
    <w:rsid w:val="00746F03"/>
    <w:rsid w:val="00751FB3"/>
    <w:rsid w:val="0075261C"/>
    <w:rsid w:val="007528F3"/>
    <w:rsid w:val="00753018"/>
    <w:rsid w:val="00753E76"/>
    <w:rsid w:val="007544EA"/>
    <w:rsid w:val="007548A8"/>
    <w:rsid w:val="00754B0A"/>
    <w:rsid w:val="00754BE8"/>
    <w:rsid w:val="00754D34"/>
    <w:rsid w:val="00755002"/>
    <w:rsid w:val="0075573A"/>
    <w:rsid w:val="007574C4"/>
    <w:rsid w:val="00757660"/>
    <w:rsid w:val="00757754"/>
    <w:rsid w:val="007607D7"/>
    <w:rsid w:val="007608DE"/>
    <w:rsid w:val="0076121E"/>
    <w:rsid w:val="00761F10"/>
    <w:rsid w:val="00762457"/>
    <w:rsid w:val="00763AE2"/>
    <w:rsid w:val="007643D9"/>
    <w:rsid w:val="00765C23"/>
    <w:rsid w:val="007662FC"/>
    <w:rsid w:val="00766326"/>
    <w:rsid w:val="00766511"/>
    <w:rsid w:val="00766CC0"/>
    <w:rsid w:val="00770327"/>
    <w:rsid w:val="0077161C"/>
    <w:rsid w:val="007720E1"/>
    <w:rsid w:val="00772677"/>
    <w:rsid w:val="00772D3E"/>
    <w:rsid w:val="007733D0"/>
    <w:rsid w:val="0077356F"/>
    <w:rsid w:val="007744E8"/>
    <w:rsid w:val="00775069"/>
    <w:rsid w:val="007754DF"/>
    <w:rsid w:val="00775979"/>
    <w:rsid w:val="007764BA"/>
    <w:rsid w:val="00776E2F"/>
    <w:rsid w:val="00780696"/>
    <w:rsid w:val="007807A9"/>
    <w:rsid w:val="007809AF"/>
    <w:rsid w:val="00780D4D"/>
    <w:rsid w:val="00781158"/>
    <w:rsid w:val="00781446"/>
    <w:rsid w:val="007828F3"/>
    <w:rsid w:val="00783809"/>
    <w:rsid w:val="00783DE6"/>
    <w:rsid w:val="0079006D"/>
    <w:rsid w:val="0079022D"/>
    <w:rsid w:val="00790CEB"/>
    <w:rsid w:val="0079106D"/>
    <w:rsid w:val="00791612"/>
    <w:rsid w:val="00791C24"/>
    <w:rsid w:val="0079256D"/>
    <w:rsid w:val="00793177"/>
    <w:rsid w:val="0079326E"/>
    <w:rsid w:val="007935A5"/>
    <w:rsid w:val="00794408"/>
    <w:rsid w:val="00794CBE"/>
    <w:rsid w:val="00795A0C"/>
    <w:rsid w:val="00797428"/>
    <w:rsid w:val="00797622"/>
    <w:rsid w:val="007977FD"/>
    <w:rsid w:val="007979C7"/>
    <w:rsid w:val="00797D46"/>
    <w:rsid w:val="00797ECF"/>
    <w:rsid w:val="007A2179"/>
    <w:rsid w:val="007A25FA"/>
    <w:rsid w:val="007A2B0B"/>
    <w:rsid w:val="007A2B84"/>
    <w:rsid w:val="007A37F7"/>
    <w:rsid w:val="007A550B"/>
    <w:rsid w:val="007A55CC"/>
    <w:rsid w:val="007A5E95"/>
    <w:rsid w:val="007A60F5"/>
    <w:rsid w:val="007A793E"/>
    <w:rsid w:val="007A7EE8"/>
    <w:rsid w:val="007A7EF6"/>
    <w:rsid w:val="007B04D6"/>
    <w:rsid w:val="007B15E1"/>
    <w:rsid w:val="007B1E0D"/>
    <w:rsid w:val="007B3263"/>
    <w:rsid w:val="007B4141"/>
    <w:rsid w:val="007B41B2"/>
    <w:rsid w:val="007B56EE"/>
    <w:rsid w:val="007B5C3C"/>
    <w:rsid w:val="007B727B"/>
    <w:rsid w:val="007B744D"/>
    <w:rsid w:val="007B7954"/>
    <w:rsid w:val="007B7B8F"/>
    <w:rsid w:val="007B7D3C"/>
    <w:rsid w:val="007C0473"/>
    <w:rsid w:val="007C0D92"/>
    <w:rsid w:val="007C1BAB"/>
    <w:rsid w:val="007C25F3"/>
    <w:rsid w:val="007C37C5"/>
    <w:rsid w:val="007C43F6"/>
    <w:rsid w:val="007C620E"/>
    <w:rsid w:val="007C6E4E"/>
    <w:rsid w:val="007D02E4"/>
    <w:rsid w:val="007D0FDE"/>
    <w:rsid w:val="007D157B"/>
    <w:rsid w:val="007D1E0C"/>
    <w:rsid w:val="007D1FD9"/>
    <w:rsid w:val="007D24D1"/>
    <w:rsid w:val="007D27C1"/>
    <w:rsid w:val="007D294D"/>
    <w:rsid w:val="007D4746"/>
    <w:rsid w:val="007D52D0"/>
    <w:rsid w:val="007D5F61"/>
    <w:rsid w:val="007D6625"/>
    <w:rsid w:val="007D7D7A"/>
    <w:rsid w:val="007E008D"/>
    <w:rsid w:val="007E0128"/>
    <w:rsid w:val="007E07AB"/>
    <w:rsid w:val="007E1406"/>
    <w:rsid w:val="007E19E6"/>
    <w:rsid w:val="007E24B1"/>
    <w:rsid w:val="007E2CD0"/>
    <w:rsid w:val="007E4034"/>
    <w:rsid w:val="007E414C"/>
    <w:rsid w:val="007E523C"/>
    <w:rsid w:val="007E5D77"/>
    <w:rsid w:val="007E5E42"/>
    <w:rsid w:val="007E6CF6"/>
    <w:rsid w:val="007E7882"/>
    <w:rsid w:val="007E7943"/>
    <w:rsid w:val="007F078C"/>
    <w:rsid w:val="007F0FD1"/>
    <w:rsid w:val="007F23FE"/>
    <w:rsid w:val="007F30CD"/>
    <w:rsid w:val="007F31B8"/>
    <w:rsid w:val="007F3608"/>
    <w:rsid w:val="007F4289"/>
    <w:rsid w:val="007F4FB1"/>
    <w:rsid w:val="007F5105"/>
    <w:rsid w:val="007F5115"/>
    <w:rsid w:val="007F5EAD"/>
    <w:rsid w:val="007F6CCD"/>
    <w:rsid w:val="007F6DE0"/>
    <w:rsid w:val="007F7674"/>
    <w:rsid w:val="007F7D36"/>
    <w:rsid w:val="00800693"/>
    <w:rsid w:val="008007BB"/>
    <w:rsid w:val="00800B51"/>
    <w:rsid w:val="00802366"/>
    <w:rsid w:val="00803359"/>
    <w:rsid w:val="00803587"/>
    <w:rsid w:val="00803A8E"/>
    <w:rsid w:val="008043AF"/>
    <w:rsid w:val="0080521F"/>
    <w:rsid w:val="00805810"/>
    <w:rsid w:val="00805C01"/>
    <w:rsid w:val="00806006"/>
    <w:rsid w:val="00806070"/>
    <w:rsid w:val="0080662B"/>
    <w:rsid w:val="00806C33"/>
    <w:rsid w:val="00807368"/>
    <w:rsid w:val="008118FC"/>
    <w:rsid w:val="00811998"/>
    <w:rsid w:val="00811BD3"/>
    <w:rsid w:val="00814B48"/>
    <w:rsid w:val="00815001"/>
    <w:rsid w:val="00815481"/>
    <w:rsid w:val="00815B6D"/>
    <w:rsid w:val="008160EB"/>
    <w:rsid w:val="00820C60"/>
    <w:rsid w:val="00820EBC"/>
    <w:rsid w:val="0082117A"/>
    <w:rsid w:val="00821B48"/>
    <w:rsid w:val="00822D80"/>
    <w:rsid w:val="00822F6F"/>
    <w:rsid w:val="00823448"/>
    <w:rsid w:val="008236E7"/>
    <w:rsid w:val="0082609A"/>
    <w:rsid w:val="0082744B"/>
    <w:rsid w:val="00827D32"/>
    <w:rsid w:val="00830734"/>
    <w:rsid w:val="00831B03"/>
    <w:rsid w:val="00831E6A"/>
    <w:rsid w:val="00831F4D"/>
    <w:rsid w:val="00833000"/>
    <w:rsid w:val="008338CD"/>
    <w:rsid w:val="0083487D"/>
    <w:rsid w:val="00834B4C"/>
    <w:rsid w:val="00834E29"/>
    <w:rsid w:val="008350DF"/>
    <w:rsid w:val="00835B02"/>
    <w:rsid w:val="00835C2A"/>
    <w:rsid w:val="00835EC1"/>
    <w:rsid w:val="00836122"/>
    <w:rsid w:val="00837BA5"/>
    <w:rsid w:val="00841641"/>
    <w:rsid w:val="008422BB"/>
    <w:rsid w:val="008422E8"/>
    <w:rsid w:val="008433D2"/>
    <w:rsid w:val="00845A6F"/>
    <w:rsid w:val="008476FE"/>
    <w:rsid w:val="008500E9"/>
    <w:rsid w:val="00850279"/>
    <w:rsid w:val="00850D35"/>
    <w:rsid w:val="0085244A"/>
    <w:rsid w:val="00852797"/>
    <w:rsid w:val="00852D8F"/>
    <w:rsid w:val="00853C57"/>
    <w:rsid w:val="00853DA9"/>
    <w:rsid w:val="00854EE3"/>
    <w:rsid w:val="00855D78"/>
    <w:rsid w:val="0085793B"/>
    <w:rsid w:val="00857E4A"/>
    <w:rsid w:val="008603D1"/>
    <w:rsid w:val="008606BD"/>
    <w:rsid w:val="008625D6"/>
    <w:rsid w:val="00862F82"/>
    <w:rsid w:val="008635F0"/>
    <w:rsid w:val="00863EA7"/>
    <w:rsid w:val="00864409"/>
    <w:rsid w:val="0086443E"/>
    <w:rsid w:val="00864A9D"/>
    <w:rsid w:val="008650C0"/>
    <w:rsid w:val="0086514D"/>
    <w:rsid w:val="008656DC"/>
    <w:rsid w:val="008661C0"/>
    <w:rsid w:val="00866DF1"/>
    <w:rsid w:val="00867075"/>
    <w:rsid w:val="008677D7"/>
    <w:rsid w:val="0087027E"/>
    <w:rsid w:val="00871515"/>
    <w:rsid w:val="008731AA"/>
    <w:rsid w:val="00874AD5"/>
    <w:rsid w:val="00874EAB"/>
    <w:rsid w:val="008753FE"/>
    <w:rsid w:val="0087647C"/>
    <w:rsid w:val="0088077B"/>
    <w:rsid w:val="008819FF"/>
    <w:rsid w:val="00881A4C"/>
    <w:rsid w:val="00881F4A"/>
    <w:rsid w:val="008820C4"/>
    <w:rsid w:val="008824AD"/>
    <w:rsid w:val="0088339E"/>
    <w:rsid w:val="0088377D"/>
    <w:rsid w:val="00883B72"/>
    <w:rsid w:val="0088426D"/>
    <w:rsid w:val="008854E9"/>
    <w:rsid w:val="00886133"/>
    <w:rsid w:val="0088715C"/>
    <w:rsid w:val="00887E62"/>
    <w:rsid w:val="00891168"/>
    <w:rsid w:val="0089250D"/>
    <w:rsid w:val="008939D0"/>
    <w:rsid w:val="008945C5"/>
    <w:rsid w:val="008949EB"/>
    <w:rsid w:val="00894CEE"/>
    <w:rsid w:val="00894E16"/>
    <w:rsid w:val="00897163"/>
    <w:rsid w:val="0089724A"/>
    <w:rsid w:val="008972A9"/>
    <w:rsid w:val="008974EA"/>
    <w:rsid w:val="008A0307"/>
    <w:rsid w:val="008A0374"/>
    <w:rsid w:val="008A0A6F"/>
    <w:rsid w:val="008A0E2E"/>
    <w:rsid w:val="008A0EF3"/>
    <w:rsid w:val="008A2EEA"/>
    <w:rsid w:val="008A3CBA"/>
    <w:rsid w:val="008A4603"/>
    <w:rsid w:val="008A4BC3"/>
    <w:rsid w:val="008A6C40"/>
    <w:rsid w:val="008A6D5C"/>
    <w:rsid w:val="008A6EFF"/>
    <w:rsid w:val="008A7DF8"/>
    <w:rsid w:val="008B0559"/>
    <w:rsid w:val="008B0825"/>
    <w:rsid w:val="008B0A3D"/>
    <w:rsid w:val="008B10DC"/>
    <w:rsid w:val="008B111B"/>
    <w:rsid w:val="008B145D"/>
    <w:rsid w:val="008B21F5"/>
    <w:rsid w:val="008B245B"/>
    <w:rsid w:val="008B27DF"/>
    <w:rsid w:val="008B404A"/>
    <w:rsid w:val="008B4C58"/>
    <w:rsid w:val="008B5313"/>
    <w:rsid w:val="008B591F"/>
    <w:rsid w:val="008B6FD0"/>
    <w:rsid w:val="008B710E"/>
    <w:rsid w:val="008B7446"/>
    <w:rsid w:val="008C1109"/>
    <w:rsid w:val="008C33D9"/>
    <w:rsid w:val="008C3604"/>
    <w:rsid w:val="008C3946"/>
    <w:rsid w:val="008C43C2"/>
    <w:rsid w:val="008C45C4"/>
    <w:rsid w:val="008C69A4"/>
    <w:rsid w:val="008D0F6F"/>
    <w:rsid w:val="008D1209"/>
    <w:rsid w:val="008D304D"/>
    <w:rsid w:val="008D4799"/>
    <w:rsid w:val="008D4B0B"/>
    <w:rsid w:val="008D4E19"/>
    <w:rsid w:val="008D588A"/>
    <w:rsid w:val="008D5990"/>
    <w:rsid w:val="008D692A"/>
    <w:rsid w:val="008D6A61"/>
    <w:rsid w:val="008D6C3E"/>
    <w:rsid w:val="008D711D"/>
    <w:rsid w:val="008D7717"/>
    <w:rsid w:val="008E02F1"/>
    <w:rsid w:val="008E0923"/>
    <w:rsid w:val="008E0AEA"/>
    <w:rsid w:val="008E1EAD"/>
    <w:rsid w:val="008E2933"/>
    <w:rsid w:val="008E2D35"/>
    <w:rsid w:val="008E30B5"/>
    <w:rsid w:val="008E3FF3"/>
    <w:rsid w:val="008E4993"/>
    <w:rsid w:val="008E4E32"/>
    <w:rsid w:val="008E4F59"/>
    <w:rsid w:val="008E59A2"/>
    <w:rsid w:val="008E59EC"/>
    <w:rsid w:val="008E5AC3"/>
    <w:rsid w:val="008E6960"/>
    <w:rsid w:val="008E6AA2"/>
    <w:rsid w:val="008E7A60"/>
    <w:rsid w:val="008F1013"/>
    <w:rsid w:val="008F1EDA"/>
    <w:rsid w:val="008F34AB"/>
    <w:rsid w:val="008F3E68"/>
    <w:rsid w:val="008F4C3B"/>
    <w:rsid w:val="008F5F69"/>
    <w:rsid w:val="008F61CD"/>
    <w:rsid w:val="008F6825"/>
    <w:rsid w:val="00900A58"/>
    <w:rsid w:val="00901601"/>
    <w:rsid w:val="0090275B"/>
    <w:rsid w:val="00903B1F"/>
    <w:rsid w:val="00903B87"/>
    <w:rsid w:val="009045A9"/>
    <w:rsid w:val="0090475A"/>
    <w:rsid w:val="00904B14"/>
    <w:rsid w:val="00904BF3"/>
    <w:rsid w:val="00904C74"/>
    <w:rsid w:val="00906BDA"/>
    <w:rsid w:val="009074D0"/>
    <w:rsid w:val="009102FA"/>
    <w:rsid w:val="00910D2C"/>
    <w:rsid w:val="0091119B"/>
    <w:rsid w:val="00911397"/>
    <w:rsid w:val="00911DD0"/>
    <w:rsid w:val="00912783"/>
    <w:rsid w:val="00913DA3"/>
    <w:rsid w:val="00913F6F"/>
    <w:rsid w:val="00914820"/>
    <w:rsid w:val="00914873"/>
    <w:rsid w:val="00914988"/>
    <w:rsid w:val="00914EB6"/>
    <w:rsid w:val="00915498"/>
    <w:rsid w:val="00916AB9"/>
    <w:rsid w:val="00920C78"/>
    <w:rsid w:val="00920EA3"/>
    <w:rsid w:val="00921249"/>
    <w:rsid w:val="009217A7"/>
    <w:rsid w:val="00921E73"/>
    <w:rsid w:val="00922D30"/>
    <w:rsid w:val="0092570D"/>
    <w:rsid w:val="00926193"/>
    <w:rsid w:val="009269E0"/>
    <w:rsid w:val="00927B9B"/>
    <w:rsid w:val="009306A2"/>
    <w:rsid w:val="00931A4B"/>
    <w:rsid w:val="00931D67"/>
    <w:rsid w:val="00932038"/>
    <w:rsid w:val="00932533"/>
    <w:rsid w:val="00933066"/>
    <w:rsid w:val="00933449"/>
    <w:rsid w:val="009340BE"/>
    <w:rsid w:val="00934D31"/>
    <w:rsid w:val="009367B5"/>
    <w:rsid w:val="00936BF7"/>
    <w:rsid w:val="00937309"/>
    <w:rsid w:val="0093745D"/>
    <w:rsid w:val="00941C5A"/>
    <w:rsid w:val="009420EF"/>
    <w:rsid w:val="00943896"/>
    <w:rsid w:val="009448A7"/>
    <w:rsid w:val="00944CAB"/>
    <w:rsid w:val="009454A0"/>
    <w:rsid w:val="00945C34"/>
    <w:rsid w:val="00945C75"/>
    <w:rsid w:val="00945DE2"/>
    <w:rsid w:val="009466A0"/>
    <w:rsid w:val="00946A9A"/>
    <w:rsid w:val="00950965"/>
    <w:rsid w:val="00951433"/>
    <w:rsid w:val="00952765"/>
    <w:rsid w:val="009529F5"/>
    <w:rsid w:val="009554C0"/>
    <w:rsid w:val="009567A0"/>
    <w:rsid w:val="00956934"/>
    <w:rsid w:val="00960241"/>
    <w:rsid w:val="009608AF"/>
    <w:rsid w:val="0096380E"/>
    <w:rsid w:val="00964EEA"/>
    <w:rsid w:val="009651B1"/>
    <w:rsid w:val="00965924"/>
    <w:rsid w:val="009661C7"/>
    <w:rsid w:val="00966305"/>
    <w:rsid w:val="0096658C"/>
    <w:rsid w:val="00967268"/>
    <w:rsid w:val="0096743A"/>
    <w:rsid w:val="0097205F"/>
    <w:rsid w:val="0097259C"/>
    <w:rsid w:val="00972808"/>
    <w:rsid w:val="009731CC"/>
    <w:rsid w:val="009747B8"/>
    <w:rsid w:val="00975CDF"/>
    <w:rsid w:val="009767A2"/>
    <w:rsid w:val="00980293"/>
    <w:rsid w:val="00980E7B"/>
    <w:rsid w:val="00981742"/>
    <w:rsid w:val="0098177B"/>
    <w:rsid w:val="00981F2B"/>
    <w:rsid w:val="009826A9"/>
    <w:rsid w:val="00982ADE"/>
    <w:rsid w:val="00982EA9"/>
    <w:rsid w:val="009830F6"/>
    <w:rsid w:val="00983CC1"/>
    <w:rsid w:val="00984DA0"/>
    <w:rsid w:val="00985066"/>
    <w:rsid w:val="00985140"/>
    <w:rsid w:val="00986E28"/>
    <w:rsid w:val="00990011"/>
    <w:rsid w:val="009904EA"/>
    <w:rsid w:val="00990986"/>
    <w:rsid w:val="00990ED2"/>
    <w:rsid w:val="0099150C"/>
    <w:rsid w:val="00991BBB"/>
    <w:rsid w:val="00992762"/>
    <w:rsid w:val="00992A12"/>
    <w:rsid w:val="009931FA"/>
    <w:rsid w:val="00993245"/>
    <w:rsid w:val="00994B69"/>
    <w:rsid w:val="009951ED"/>
    <w:rsid w:val="0099622A"/>
    <w:rsid w:val="00997AA0"/>
    <w:rsid w:val="00997B73"/>
    <w:rsid w:val="00997F98"/>
    <w:rsid w:val="009A0355"/>
    <w:rsid w:val="009A03B9"/>
    <w:rsid w:val="009A074D"/>
    <w:rsid w:val="009A0F2F"/>
    <w:rsid w:val="009A1543"/>
    <w:rsid w:val="009A1C12"/>
    <w:rsid w:val="009A1D02"/>
    <w:rsid w:val="009A2706"/>
    <w:rsid w:val="009A294C"/>
    <w:rsid w:val="009A2F21"/>
    <w:rsid w:val="009A3C16"/>
    <w:rsid w:val="009A4281"/>
    <w:rsid w:val="009A5290"/>
    <w:rsid w:val="009A5307"/>
    <w:rsid w:val="009A67B7"/>
    <w:rsid w:val="009A6C73"/>
    <w:rsid w:val="009A6CC5"/>
    <w:rsid w:val="009B12AF"/>
    <w:rsid w:val="009B1CFE"/>
    <w:rsid w:val="009B3564"/>
    <w:rsid w:val="009B44AA"/>
    <w:rsid w:val="009B5C64"/>
    <w:rsid w:val="009B5EC4"/>
    <w:rsid w:val="009B607D"/>
    <w:rsid w:val="009B668C"/>
    <w:rsid w:val="009B704E"/>
    <w:rsid w:val="009B78C8"/>
    <w:rsid w:val="009B799A"/>
    <w:rsid w:val="009C1ED8"/>
    <w:rsid w:val="009C233A"/>
    <w:rsid w:val="009C332B"/>
    <w:rsid w:val="009C3EA5"/>
    <w:rsid w:val="009C4139"/>
    <w:rsid w:val="009C5848"/>
    <w:rsid w:val="009C60A0"/>
    <w:rsid w:val="009C6464"/>
    <w:rsid w:val="009C64AA"/>
    <w:rsid w:val="009D0D40"/>
    <w:rsid w:val="009D1CC7"/>
    <w:rsid w:val="009D2000"/>
    <w:rsid w:val="009D2706"/>
    <w:rsid w:val="009D2BE4"/>
    <w:rsid w:val="009D4882"/>
    <w:rsid w:val="009D4FFE"/>
    <w:rsid w:val="009D5328"/>
    <w:rsid w:val="009D621D"/>
    <w:rsid w:val="009D6BAE"/>
    <w:rsid w:val="009D7709"/>
    <w:rsid w:val="009D7B49"/>
    <w:rsid w:val="009E0115"/>
    <w:rsid w:val="009E0C72"/>
    <w:rsid w:val="009E158B"/>
    <w:rsid w:val="009E256A"/>
    <w:rsid w:val="009E2BD7"/>
    <w:rsid w:val="009E3D7C"/>
    <w:rsid w:val="009E49CA"/>
    <w:rsid w:val="009E5751"/>
    <w:rsid w:val="009E5C3D"/>
    <w:rsid w:val="009E7243"/>
    <w:rsid w:val="009F06F0"/>
    <w:rsid w:val="009F308D"/>
    <w:rsid w:val="009F3199"/>
    <w:rsid w:val="009F321D"/>
    <w:rsid w:val="009F3EEB"/>
    <w:rsid w:val="009F4509"/>
    <w:rsid w:val="009F5E81"/>
    <w:rsid w:val="009F7D83"/>
    <w:rsid w:val="009F7DB3"/>
    <w:rsid w:val="009F7F73"/>
    <w:rsid w:val="00A016E0"/>
    <w:rsid w:val="00A023CB"/>
    <w:rsid w:val="00A024F6"/>
    <w:rsid w:val="00A02747"/>
    <w:rsid w:val="00A02D55"/>
    <w:rsid w:val="00A04BCE"/>
    <w:rsid w:val="00A04E7B"/>
    <w:rsid w:val="00A05BF7"/>
    <w:rsid w:val="00A0652E"/>
    <w:rsid w:val="00A06926"/>
    <w:rsid w:val="00A06EC0"/>
    <w:rsid w:val="00A07E09"/>
    <w:rsid w:val="00A1062C"/>
    <w:rsid w:val="00A108FB"/>
    <w:rsid w:val="00A10B60"/>
    <w:rsid w:val="00A10EBB"/>
    <w:rsid w:val="00A11BC0"/>
    <w:rsid w:val="00A121D5"/>
    <w:rsid w:val="00A12F8E"/>
    <w:rsid w:val="00A13CBA"/>
    <w:rsid w:val="00A1464A"/>
    <w:rsid w:val="00A14EE7"/>
    <w:rsid w:val="00A178E6"/>
    <w:rsid w:val="00A17A02"/>
    <w:rsid w:val="00A17E48"/>
    <w:rsid w:val="00A21225"/>
    <w:rsid w:val="00A215B4"/>
    <w:rsid w:val="00A22A37"/>
    <w:rsid w:val="00A24749"/>
    <w:rsid w:val="00A252D0"/>
    <w:rsid w:val="00A26E24"/>
    <w:rsid w:val="00A27029"/>
    <w:rsid w:val="00A27BE2"/>
    <w:rsid w:val="00A3030F"/>
    <w:rsid w:val="00A3059C"/>
    <w:rsid w:val="00A3074A"/>
    <w:rsid w:val="00A33990"/>
    <w:rsid w:val="00A340E2"/>
    <w:rsid w:val="00A34699"/>
    <w:rsid w:val="00A355CE"/>
    <w:rsid w:val="00A35C8F"/>
    <w:rsid w:val="00A36D16"/>
    <w:rsid w:val="00A36E5D"/>
    <w:rsid w:val="00A3727B"/>
    <w:rsid w:val="00A40AFC"/>
    <w:rsid w:val="00A40E02"/>
    <w:rsid w:val="00A411CA"/>
    <w:rsid w:val="00A42319"/>
    <w:rsid w:val="00A44438"/>
    <w:rsid w:val="00A458CE"/>
    <w:rsid w:val="00A46682"/>
    <w:rsid w:val="00A46C82"/>
    <w:rsid w:val="00A473F3"/>
    <w:rsid w:val="00A47695"/>
    <w:rsid w:val="00A516F2"/>
    <w:rsid w:val="00A52EAC"/>
    <w:rsid w:val="00A52F65"/>
    <w:rsid w:val="00A53814"/>
    <w:rsid w:val="00A540FF"/>
    <w:rsid w:val="00A54743"/>
    <w:rsid w:val="00A5499F"/>
    <w:rsid w:val="00A55058"/>
    <w:rsid w:val="00A56393"/>
    <w:rsid w:val="00A56DF5"/>
    <w:rsid w:val="00A56E1B"/>
    <w:rsid w:val="00A57738"/>
    <w:rsid w:val="00A600A6"/>
    <w:rsid w:val="00A60545"/>
    <w:rsid w:val="00A6154E"/>
    <w:rsid w:val="00A61596"/>
    <w:rsid w:val="00A61BD3"/>
    <w:rsid w:val="00A63AEE"/>
    <w:rsid w:val="00A64040"/>
    <w:rsid w:val="00A651C1"/>
    <w:rsid w:val="00A6572A"/>
    <w:rsid w:val="00A66605"/>
    <w:rsid w:val="00A711CC"/>
    <w:rsid w:val="00A71D73"/>
    <w:rsid w:val="00A724EF"/>
    <w:rsid w:val="00A72CB4"/>
    <w:rsid w:val="00A73F02"/>
    <w:rsid w:val="00A76435"/>
    <w:rsid w:val="00A76B91"/>
    <w:rsid w:val="00A7720F"/>
    <w:rsid w:val="00A77C33"/>
    <w:rsid w:val="00A77F87"/>
    <w:rsid w:val="00A81E65"/>
    <w:rsid w:val="00A824E2"/>
    <w:rsid w:val="00A82F7F"/>
    <w:rsid w:val="00A838E4"/>
    <w:rsid w:val="00A84237"/>
    <w:rsid w:val="00A842DE"/>
    <w:rsid w:val="00A84645"/>
    <w:rsid w:val="00A846F2"/>
    <w:rsid w:val="00A85C51"/>
    <w:rsid w:val="00A86086"/>
    <w:rsid w:val="00A864AD"/>
    <w:rsid w:val="00A86B5A"/>
    <w:rsid w:val="00A87A00"/>
    <w:rsid w:val="00A87DF3"/>
    <w:rsid w:val="00A87DF6"/>
    <w:rsid w:val="00A9076F"/>
    <w:rsid w:val="00A90D32"/>
    <w:rsid w:val="00A9173C"/>
    <w:rsid w:val="00A95A09"/>
    <w:rsid w:val="00A95C73"/>
    <w:rsid w:val="00A971FF"/>
    <w:rsid w:val="00A976E5"/>
    <w:rsid w:val="00AA16B7"/>
    <w:rsid w:val="00AA19F5"/>
    <w:rsid w:val="00AA1EBA"/>
    <w:rsid w:val="00AA26BA"/>
    <w:rsid w:val="00AA295B"/>
    <w:rsid w:val="00AA2D25"/>
    <w:rsid w:val="00AA3683"/>
    <w:rsid w:val="00AA387D"/>
    <w:rsid w:val="00AA3B21"/>
    <w:rsid w:val="00AA4DC6"/>
    <w:rsid w:val="00AA504B"/>
    <w:rsid w:val="00AA74A1"/>
    <w:rsid w:val="00AA784A"/>
    <w:rsid w:val="00AB0413"/>
    <w:rsid w:val="00AB066E"/>
    <w:rsid w:val="00AB31FF"/>
    <w:rsid w:val="00AB3CE7"/>
    <w:rsid w:val="00AB476A"/>
    <w:rsid w:val="00AB49CD"/>
    <w:rsid w:val="00AB5115"/>
    <w:rsid w:val="00AB543F"/>
    <w:rsid w:val="00AB5DAD"/>
    <w:rsid w:val="00AB6187"/>
    <w:rsid w:val="00AC0BFD"/>
    <w:rsid w:val="00AC2DB5"/>
    <w:rsid w:val="00AC3036"/>
    <w:rsid w:val="00AC31CE"/>
    <w:rsid w:val="00AC54F3"/>
    <w:rsid w:val="00AC6E0E"/>
    <w:rsid w:val="00AC7253"/>
    <w:rsid w:val="00AC7426"/>
    <w:rsid w:val="00AD009B"/>
    <w:rsid w:val="00AD08CD"/>
    <w:rsid w:val="00AD17E4"/>
    <w:rsid w:val="00AD265B"/>
    <w:rsid w:val="00AD3032"/>
    <w:rsid w:val="00AD34A3"/>
    <w:rsid w:val="00AD3556"/>
    <w:rsid w:val="00AD56C9"/>
    <w:rsid w:val="00AD618D"/>
    <w:rsid w:val="00AD7402"/>
    <w:rsid w:val="00AD76A3"/>
    <w:rsid w:val="00AE1551"/>
    <w:rsid w:val="00AE210A"/>
    <w:rsid w:val="00AE24F1"/>
    <w:rsid w:val="00AE3580"/>
    <w:rsid w:val="00AE4FBF"/>
    <w:rsid w:val="00AE513C"/>
    <w:rsid w:val="00AE5CFA"/>
    <w:rsid w:val="00AE684E"/>
    <w:rsid w:val="00AE6879"/>
    <w:rsid w:val="00AE739F"/>
    <w:rsid w:val="00AE788C"/>
    <w:rsid w:val="00AE78A3"/>
    <w:rsid w:val="00AF00FB"/>
    <w:rsid w:val="00AF43FE"/>
    <w:rsid w:val="00AF4D0C"/>
    <w:rsid w:val="00AF4DCB"/>
    <w:rsid w:val="00AF4FA4"/>
    <w:rsid w:val="00AF5026"/>
    <w:rsid w:val="00AF51BD"/>
    <w:rsid w:val="00AF5E3D"/>
    <w:rsid w:val="00AF6ADE"/>
    <w:rsid w:val="00B0374D"/>
    <w:rsid w:val="00B04D09"/>
    <w:rsid w:val="00B064D0"/>
    <w:rsid w:val="00B10F46"/>
    <w:rsid w:val="00B117B8"/>
    <w:rsid w:val="00B12C7C"/>
    <w:rsid w:val="00B1486D"/>
    <w:rsid w:val="00B1564E"/>
    <w:rsid w:val="00B16446"/>
    <w:rsid w:val="00B1676B"/>
    <w:rsid w:val="00B171CD"/>
    <w:rsid w:val="00B17853"/>
    <w:rsid w:val="00B17957"/>
    <w:rsid w:val="00B17EA6"/>
    <w:rsid w:val="00B20A41"/>
    <w:rsid w:val="00B20BB7"/>
    <w:rsid w:val="00B210D3"/>
    <w:rsid w:val="00B210F3"/>
    <w:rsid w:val="00B21E9C"/>
    <w:rsid w:val="00B2401D"/>
    <w:rsid w:val="00B2558C"/>
    <w:rsid w:val="00B2722E"/>
    <w:rsid w:val="00B27664"/>
    <w:rsid w:val="00B27CEE"/>
    <w:rsid w:val="00B30066"/>
    <w:rsid w:val="00B31D1C"/>
    <w:rsid w:val="00B326A6"/>
    <w:rsid w:val="00B32BF8"/>
    <w:rsid w:val="00B33E0E"/>
    <w:rsid w:val="00B347D3"/>
    <w:rsid w:val="00B368F3"/>
    <w:rsid w:val="00B36BEA"/>
    <w:rsid w:val="00B371BB"/>
    <w:rsid w:val="00B3723A"/>
    <w:rsid w:val="00B37258"/>
    <w:rsid w:val="00B379EF"/>
    <w:rsid w:val="00B41ACB"/>
    <w:rsid w:val="00B41E37"/>
    <w:rsid w:val="00B43AB8"/>
    <w:rsid w:val="00B44D78"/>
    <w:rsid w:val="00B46C10"/>
    <w:rsid w:val="00B470E5"/>
    <w:rsid w:val="00B47420"/>
    <w:rsid w:val="00B50570"/>
    <w:rsid w:val="00B50E30"/>
    <w:rsid w:val="00B520AB"/>
    <w:rsid w:val="00B52A70"/>
    <w:rsid w:val="00B53093"/>
    <w:rsid w:val="00B54013"/>
    <w:rsid w:val="00B546AD"/>
    <w:rsid w:val="00B54865"/>
    <w:rsid w:val="00B549B8"/>
    <w:rsid w:val="00B562D8"/>
    <w:rsid w:val="00B56780"/>
    <w:rsid w:val="00B572EB"/>
    <w:rsid w:val="00B578F2"/>
    <w:rsid w:val="00B60346"/>
    <w:rsid w:val="00B60561"/>
    <w:rsid w:val="00B6060A"/>
    <w:rsid w:val="00B607A6"/>
    <w:rsid w:val="00B61BB1"/>
    <w:rsid w:val="00B61DE9"/>
    <w:rsid w:val="00B62160"/>
    <w:rsid w:val="00B62266"/>
    <w:rsid w:val="00B63ED9"/>
    <w:rsid w:val="00B642DA"/>
    <w:rsid w:val="00B65502"/>
    <w:rsid w:val="00B65509"/>
    <w:rsid w:val="00B655A1"/>
    <w:rsid w:val="00B66873"/>
    <w:rsid w:val="00B66A05"/>
    <w:rsid w:val="00B66E42"/>
    <w:rsid w:val="00B67A5D"/>
    <w:rsid w:val="00B7072B"/>
    <w:rsid w:val="00B70FFF"/>
    <w:rsid w:val="00B716B9"/>
    <w:rsid w:val="00B71B14"/>
    <w:rsid w:val="00B731B1"/>
    <w:rsid w:val="00B73D47"/>
    <w:rsid w:val="00B7421F"/>
    <w:rsid w:val="00B74715"/>
    <w:rsid w:val="00B7487F"/>
    <w:rsid w:val="00B75397"/>
    <w:rsid w:val="00B75F08"/>
    <w:rsid w:val="00B760F0"/>
    <w:rsid w:val="00B761C0"/>
    <w:rsid w:val="00B76244"/>
    <w:rsid w:val="00B76675"/>
    <w:rsid w:val="00B770A8"/>
    <w:rsid w:val="00B77D93"/>
    <w:rsid w:val="00B80B5F"/>
    <w:rsid w:val="00B80F2C"/>
    <w:rsid w:val="00B82040"/>
    <w:rsid w:val="00B8238C"/>
    <w:rsid w:val="00B8284A"/>
    <w:rsid w:val="00B831D2"/>
    <w:rsid w:val="00B83E60"/>
    <w:rsid w:val="00B85018"/>
    <w:rsid w:val="00B856F0"/>
    <w:rsid w:val="00B87E00"/>
    <w:rsid w:val="00B90297"/>
    <w:rsid w:val="00B915C4"/>
    <w:rsid w:val="00B92A6A"/>
    <w:rsid w:val="00B94396"/>
    <w:rsid w:val="00B9448E"/>
    <w:rsid w:val="00B949BD"/>
    <w:rsid w:val="00B953E6"/>
    <w:rsid w:val="00B957AE"/>
    <w:rsid w:val="00B95C13"/>
    <w:rsid w:val="00B95C1C"/>
    <w:rsid w:val="00B96125"/>
    <w:rsid w:val="00B961D0"/>
    <w:rsid w:val="00B9644F"/>
    <w:rsid w:val="00B96910"/>
    <w:rsid w:val="00B97019"/>
    <w:rsid w:val="00B977CE"/>
    <w:rsid w:val="00B97A31"/>
    <w:rsid w:val="00B97E6C"/>
    <w:rsid w:val="00BA019C"/>
    <w:rsid w:val="00BA080B"/>
    <w:rsid w:val="00BA1394"/>
    <w:rsid w:val="00BA20C9"/>
    <w:rsid w:val="00BA3E77"/>
    <w:rsid w:val="00BA46A7"/>
    <w:rsid w:val="00BA522B"/>
    <w:rsid w:val="00BB08CC"/>
    <w:rsid w:val="00BB0A16"/>
    <w:rsid w:val="00BB0C41"/>
    <w:rsid w:val="00BB0C66"/>
    <w:rsid w:val="00BB1591"/>
    <w:rsid w:val="00BB2A95"/>
    <w:rsid w:val="00BB2CA6"/>
    <w:rsid w:val="00BB30A9"/>
    <w:rsid w:val="00BB32E5"/>
    <w:rsid w:val="00BB4A0F"/>
    <w:rsid w:val="00BB5026"/>
    <w:rsid w:val="00BB50A0"/>
    <w:rsid w:val="00BB516D"/>
    <w:rsid w:val="00BB5D9B"/>
    <w:rsid w:val="00BB60E8"/>
    <w:rsid w:val="00BB6E0A"/>
    <w:rsid w:val="00BB7978"/>
    <w:rsid w:val="00BB7EDB"/>
    <w:rsid w:val="00BC0DC1"/>
    <w:rsid w:val="00BC134F"/>
    <w:rsid w:val="00BC31FB"/>
    <w:rsid w:val="00BC34EE"/>
    <w:rsid w:val="00BC36F0"/>
    <w:rsid w:val="00BC3A62"/>
    <w:rsid w:val="00BC3A85"/>
    <w:rsid w:val="00BC45FB"/>
    <w:rsid w:val="00BC4F58"/>
    <w:rsid w:val="00BC7ACC"/>
    <w:rsid w:val="00BD3463"/>
    <w:rsid w:val="00BD3F01"/>
    <w:rsid w:val="00BD429D"/>
    <w:rsid w:val="00BD45DD"/>
    <w:rsid w:val="00BD5622"/>
    <w:rsid w:val="00BD642B"/>
    <w:rsid w:val="00BD6AEC"/>
    <w:rsid w:val="00BD7126"/>
    <w:rsid w:val="00BD7150"/>
    <w:rsid w:val="00BD7D72"/>
    <w:rsid w:val="00BE0AC1"/>
    <w:rsid w:val="00BE1634"/>
    <w:rsid w:val="00BE1C83"/>
    <w:rsid w:val="00BE3ABC"/>
    <w:rsid w:val="00BE49FE"/>
    <w:rsid w:val="00BE5F97"/>
    <w:rsid w:val="00BE65AE"/>
    <w:rsid w:val="00BF0436"/>
    <w:rsid w:val="00BF0F65"/>
    <w:rsid w:val="00BF24AD"/>
    <w:rsid w:val="00BF3B06"/>
    <w:rsid w:val="00BF473D"/>
    <w:rsid w:val="00BF5666"/>
    <w:rsid w:val="00C000A6"/>
    <w:rsid w:val="00C00B03"/>
    <w:rsid w:val="00C00C66"/>
    <w:rsid w:val="00C01C74"/>
    <w:rsid w:val="00C01EB0"/>
    <w:rsid w:val="00C030F8"/>
    <w:rsid w:val="00C042F7"/>
    <w:rsid w:val="00C0433E"/>
    <w:rsid w:val="00C0483B"/>
    <w:rsid w:val="00C04E82"/>
    <w:rsid w:val="00C05726"/>
    <w:rsid w:val="00C05A2E"/>
    <w:rsid w:val="00C06054"/>
    <w:rsid w:val="00C060B8"/>
    <w:rsid w:val="00C06379"/>
    <w:rsid w:val="00C06E6E"/>
    <w:rsid w:val="00C07447"/>
    <w:rsid w:val="00C075CC"/>
    <w:rsid w:val="00C101A8"/>
    <w:rsid w:val="00C1052E"/>
    <w:rsid w:val="00C13BD0"/>
    <w:rsid w:val="00C146FC"/>
    <w:rsid w:val="00C154D2"/>
    <w:rsid w:val="00C156CC"/>
    <w:rsid w:val="00C15794"/>
    <w:rsid w:val="00C15D66"/>
    <w:rsid w:val="00C16190"/>
    <w:rsid w:val="00C17090"/>
    <w:rsid w:val="00C177EA"/>
    <w:rsid w:val="00C17EE2"/>
    <w:rsid w:val="00C20C27"/>
    <w:rsid w:val="00C21452"/>
    <w:rsid w:val="00C23903"/>
    <w:rsid w:val="00C23B36"/>
    <w:rsid w:val="00C24343"/>
    <w:rsid w:val="00C26A49"/>
    <w:rsid w:val="00C26C4E"/>
    <w:rsid w:val="00C27401"/>
    <w:rsid w:val="00C27B81"/>
    <w:rsid w:val="00C306BB"/>
    <w:rsid w:val="00C327E9"/>
    <w:rsid w:val="00C3335C"/>
    <w:rsid w:val="00C36027"/>
    <w:rsid w:val="00C361D3"/>
    <w:rsid w:val="00C36469"/>
    <w:rsid w:val="00C37D02"/>
    <w:rsid w:val="00C4035B"/>
    <w:rsid w:val="00C440ED"/>
    <w:rsid w:val="00C45A59"/>
    <w:rsid w:val="00C45B4D"/>
    <w:rsid w:val="00C46105"/>
    <w:rsid w:val="00C46D19"/>
    <w:rsid w:val="00C4705D"/>
    <w:rsid w:val="00C4776D"/>
    <w:rsid w:val="00C51939"/>
    <w:rsid w:val="00C51E21"/>
    <w:rsid w:val="00C52DE6"/>
    <w:rsid w:val="00C537F3"/>
    <w:rsid w:val="00C54589"/>
    <w:rsid w:val="00C56A6E"/>
    <w:rsid w:val="00C5718C"/>
    <w:rsid w:val="00C57679"/>
    <w:rsid w:val="00C578BB"/>
    <w:rsid w:val="00C57D46"/>
    <w:rsid w:val="00C611FC"/>
    <w:rsid w:val="00C61469"/>
    <w:rsid w:val="00C625B1"/>
    <w:rsid w:val="00C63B14"/>
    <w:rsid w:val="00C64542"/>
    <w:rsid w:val="00C64D26"/>
    <w:rsid w:val="00C6545E"/>
    <w:rsid w:val="00C65A42"/>
    <w:rsid w:val="00C669EA"/>
    <w:rsid w:val="00C66D77"/>
    <w:rsid w:val="00C67DB5"/>
    <w:rsid w:val="00C67F85"/>
    <w:rsid w:val="00C70BCA"/>
    <w:rsid w:val="00C71EF8"/>
    <w:rsid w:val="00C72882"/>
    <w:rsid w:val="00C72F34"/>
    <w:rsid w:val="00C7364A"/>
    <w:rsid w:val="00C73A67"/>
    <w:rsid w:val="00C750B9"/>
    <w:rsid w:val="00C75A54"/>
    <w:rsid w:val="00C7608B"/>
    <w:rsid w:val="00C770F3"/>
    <w:rsid w:val="00C8294F"/>
    <w:rsid w:val="00C82CC5"/>
    <w:rsid w:val="00C832A5"/>
    <w:rsid w:val="00C8336F"/>
    <w:rsid w:val="00C84705"/>
    <w:rsid w:val="00C8622B"/>
    <w:rsid w:val="00C864D0"/>
    <w:rsid w:val="00C8783C"/>
    <w:rsid w:val="00C90171"/>
    <w:rsid w:val="00C90604"/>
    <w:rsid w:val="00C9067A"/>
    <w:rsid w:val="00C90D7E"/>
    <w:rsid w:val="00C90EDF"/>
    <w:rsid w:val="00C90F2D"/>
    <w:rsid w:val="00C911AC"/>
    <w:rsid w:val="00C91714"/>
    <w:rsid w:val="00C91ED3"/>
    <w:rsid w:val="00C92E8A"/>
    <w:rsid w:val="00C93C81"/>
    <w:rsid w:val="00C96E61"/>
    <w:rsid w:val="00CA0032"/>
    <w:rsid w:val="00CA0AAA"/>
    <w:rsid w:val="00CA1261"/>
    <w:rsid w:val="00CA1455"/>
    <w:rsid w:val="00CA1E8E"/>
    <w:rsid w:val="00CA304A"/>
    <w:rsid w:val="00CA3472"/>
    <w:rsid w:val="00CA5DEA"/>
    <w:rsid w:val="00CA609F"/>
    <w:rsid w:val="00CA6E68"/>
    <w:rsid w:val="00CA74DB"/>
    <w:rsid w:val="00CA7646"/>
    <w:rsid w:val="00CB1055"/>
    <w:rsid w:val="00CB10E9"/>
    <w:rsid w:val="00CB1950"/>
    <w:rsid w:val="00CB2145"/>
    <w:rsid w:val="00CB2254"/>
    <w:rsid w:val="00CB27C8"/>
    <w:rsid w:val="00CB2BD7"/>
    <w:rsid w:val="00CB3CC8"/>
    <w:rsid w:val="00CB412E"/>
    <w:rsid w:val="00CB4C03"/>
    <w:rsid w:val="00CB5011"/>
    <w:rsid w:val="00CB5083"/>
    <w:rsid w:val="00CB5ABA"/>
    <w:rsid w:val="00CB6104"/>
    <w:rsid w:val="00CB7DC2"/>
    <w:rsid w:val="00CB7EE9"/>
    <w:rsid w:val="00CC0071"/>
    <w:rsid w:val="00CC06D0"/>
    <w:rsid w:val="00CC0BFC"/>
    <w:rsid w:val="00CC0DD3"/>
    <w:rsid w:val="00CC1188"/>
    <w:rsid w:val="00CC16D5"/>
    <w:rsid w:val="00CC1786"/>
    <w:rsid w:val="00CC180C"/>
    <w:rsid w:val="00CC2970"/>
    <w:rsid w:val="00CC3512"/>
    <w:rsid w:val="00CC427C"/>
    <w:rsid w:val="00CC7151"/>
    <w:rsid w:val="00CC767C"/>
    <w:rsid w:val="00CC784C"/>
    <w:rsid w:val="00CD01D0"/>
    <w:rsid w:val="00CD050B"/>
    <w:rsid w:val="00CD1231"/>
    <w:rsid w:val="00CD1822"/>
    <w:rsid w:val="00CD2634"/>
    <w:rsid w:val="00CD2A1B"/>
    <w:rsid w:val="00CD3B19"/>
    <w:rsid w:val="00CD3EDA"/>
    <w:rsid w:val="00CD777D"/>
    <w:rsid w:val="00CE30FC"/>
    <w:rsid w:val="00CE48EB"/>
    <w:rsid w:val="00CE51A6"/>
    <w:rsid w:val="00CE5548"/>
    <w:rsid w:val="00CE573C"/>
    <w:rsid w:val="00CE5EA4"/>
    <w:rsid w:val="00CE669C"/>
    <w:rsid w:val="00CE68F8"/>
    <w:rsid w:val="00CE7A69"/>
    <w:rsid w:val="00CF2131"/>
    <w:rsid w:val="00CF2A23"/>
    <w:rsid w:val="00CF3562"/>
    <w:rsid w:val="00CF3974"/>
    <w:rsid w:val="00CF45FC"/>
    <w:rsid w:val="00CF51FC"/>
    <w:rsid w:val="00CF5656"/>
    <w:rsid w:val="00CF6123"/>
    <w:rsid w:val="00CF6536"/>
    <w:rsid w:val="00CF70B6"/>
    <w:rsid w:val="00D00003"/>
    <w:rsid w:val="00D001B5"/>
    <w:rsid w:val="00D003F0"/>
    <w:rsid w:val="00D018DF"/>
    <w:rsid w:val="00D01D45"/>
    <w:rsid w:val="00D01EBC"/>
    <w:rsid w:val="00D0304C"/>
    <w:rsid w:val="00D04F67"/>
    <w:rsid w:val="00D0541D"/>
    <w:rsid w:val="00D06202"/>
    <w:rsid w:val="00D077AA"/>
    <w:rsid w:val="00D07888"/>
    <w:rsid w:val="00D10809"/>
    <w:rsid w:val="00D1081F"/>
    <w:rsid w:val="00D10BDC"/>
    <w:rsid w:val="00D1172F"/>
    <w:rsid w:val="00D11B40"/>
    <w:rsid w:val="00D16180"/>
    <w:rsid w:val="00D1675A"/>
    <w:rsid w:val="00D203EB"/>
    <w:rsid w:val="00D20C37"/>
    <w:rsid w:val="00D211D3"/>
    <w:rsid w:val="00D21D5A"/>
    <w:rsid w:val="00D21E63"/>
    <w:rsid w:val="00D2277D"/>
    <w:rsid w:val="00D227F2"/>
    <w:rsid w:val="00D2687D"/>
    <w:rsid w:val="00D27441"/>
    <w:rsid w:val="00D3057D"/>
    <w:rsid w:val="00D30834"/>
    <w:rsid w:val="00D308A5"/>
    <w:rsid w:val="00D30B51"/>
    <w:rsid w:val="00D312C4"/>
    <w:rsid w:val="00D3229F"/>
    <w:rsid w:val="00D33D7E"/>
    <w:rsid w:val="00D347A8"/>
    <w:rsid w:val="00D347F4"/>
    <w:rsid w:val="00D34ABC"/>
    <w:rsid w:val="00D35D30"/>
    <w:rsid w:val="00D36307"/>
    <w:rsid w:val="00D37040"/>
    <w:rsid w:val="00D37309"/>
    <w:rsid w:val="00D37811"/>
    <w:rsid w:val="00D4038F"/>
    <w:rsid w:val="00D415D5"/>
    <w:rsid w:val="00D424E4"/>
    <w:rsid w:val="00D42F1C"/>
    <w:rsid w:val="00D431D3"/>
    <w:rsid w:val="00D433FF"/>
    <w:rsid w:val="00D44332"/>
    <w:rsid w:val="00D45A06"/>
    <w:rsid w:val="00D462EB"/>
    <w:rsid w:val="00D4723A"/>
    <w:rsid w:val="00D50666"/>
    <w:rsid w:val="00D5089E"/>
    <w:rsid w:val="00D511BD"/>
    <w:rsid w:val="00D5399F"/>
    <w:rsid w:val="00D53BF4"/>
    <w:rsid w:val="00D53C49"/>
    <w:rsid w:val="00D54031"/>
    <w:rsid w:val="00D54F40"/>
    <w:rsid w:val="00D55908"/>
    <w:rsid w:val="00D566AF"/>
    <w:rsid w:val="00D57012"/>
    <w:rsid w:val="00D60776"/>
    <w:rsid w:val="00D61030"/>
    <w:rsid w:val="00D614E7"/>
    <w:rsid w:val="00D61CBD"/>
    <w:rsid w:val="00D61D0E"/>
    <w:rsid w:val="00D62B10"/>
    <w:rsid w:val="00D6337A"/>
    <w:rsid w:val="00D64AB6"/>
    <w:rsid w:val="00D64D7F"/>
    <w:rsid w:val="00D65C03"/>
    <w:rsid w:val="00D65E7A"/>
    <w:rsid w:val="00D66259"/>
    <w:rsid w:val="00D70C7C"/>
    <w:rsid w:val="00D716E1"/>
    <w:rsid w:val="00D71BD1"/>
    <w:rsid w:val="00D7400D"/>
    <w:rsid w:val="00D752DA"/>
    <w:rsid w:val="00D76E8E"/>
    <w:rsid w:val="00D77B47"/>
    <w:rsid w:val="00D80A86"/>
    <w:rsid w:val="00D80FAF"/>
    <w:rsid w:val="00D81560"/>
    <w:rsid w:val="00D83EA7"/>
    <w:rsid w:val="00D8471C"/>
    <w:rsid w:val="00D85522"/>
    <w:rsid w:val="00D855CF"/>
    <w:rsid w:val="00D90697"/>
    <w:rsid w:val="00D90EA3"/>
    <w:rsid w:val="00D91282"/>
    <w:rsid w:val="00D92A24"/>
    <w:rsid w:val="00D9347C"/>
    <w:rsid w:val="00D93667"/>
    <w:rsid w:val="00D94B69"/>
    <w:rsid w:val="00D95379"/>
    <w:rsid w:val="00D95494"/>
    <w:rsid w:val="00D95923"/>
    <w:rsid w:val="00D96047"/>
    <w:rsid w:val="00DA030C"/>
    <w:rsid w:val="00DA12C8"/>
    <w:rsid w:val="00DA1EFA"/>
    <w:rsid w:val="00DA1F04"/>
    <w:rsid w:val="00DA2565"/>
    <w:rsid w:val="00DA3207"/>
    <w:rsid w:val="00DA3753"/>
    <w:rsid w:val="00DA5AC6"/>
    <w:rsid w:val="00DA65F0"/>
    <w:rsid w:val="00DA74FF"/>
    <w:rsid w:val="00DA7D20"/>
    <w:rsid w:val="00DB0043"/>
    <w:rsid w:val="00DB0EF2"/>
    <w:rsid w:val="00DB1B5B"/>
    <w:rsid w:val="00DB1F80"/>
    <w:rsid w:val="00DB2DB9"/>
    <w:rsid w:val="00DB2F7B"/>
    <w:rsid w:val="00DB3FB3"/>
    <w:rsid w:val="00DB436D"/>
    <w:rsid w:val="00DB4CF5"/>
    <w:rsid w:val="00DB531B"/>
    <w:rsid w:val="00DB54C5"/>
    <w:rsid w:val="00DB5886"/>
    <w:rsid w:val="00DB6187"/>
    <w:rsid w:val="00DB62DE"/>
    <w:rsid w:val="00DB645F"/>
    <w:rsid w:val="00DB7C20"/>
    <w:rsid w:val="00DC076F"/>
    <w:rsid w:val="00DC15C6"/>
    <w:rsid w:val="00DC2289"/>
    <w:rsid w:val="00DC22E6"/>
    <w:rsid w:val="00DC3464"/>
    <w:rsid w:val="00DC37FB"/>
    <w:rsid w:val="00DC569C"/>
    <w:rsid w:val="00DC5A40"/>
    <w:rsid w:val="00DC70CC"/>
    <w:rsid w:val="00DC7404"/>
    <w:rsid w:val="00DC7690"/>
    <w:rsid w:val="00DC78B9"/>
    <w:rsid w:val="00DD02A2"/>
    <w:rsid w:val="00DD07F4"/>
    <w:rsid w:val="00DD08B3"/>
    <w:rsid w:val="00DD0D6B"/>
    <w:rsid w:val="00DD0E5B"/>
    <w:rsid w:val="00DD1088"/>
    <w:rsid w:val="00DD2431"/>
    <w:rsid w:val="00DD2503"/>
    <w:rsid w:val="00DD418D"/>
    <w:rsid w:val="00DD4343"/>
    <w:rsid w:val="00DD4A6A"/>
    <w:rsid w:val="00DD4B6C"/>
    <w:rsid w:val="00DD5C50"/>
    <w:rsid w:val="00DD5DFF"/>
    <w:rsid w:val="00DD6A3C"/>
    <w:rsid w:val="00DD6A93"/>
    <w:rsid w:val="00DD72CF"/>
    <w:rsid w:val="00DD7625"/>
    <w:rsid w:val="00DE0FA5"/>
    <w:rsid w:val="00DE106B"/>
    <w:rsid w:val="00DE2DEF"/>
    <w:rsid w:val="00DE3045"/>
    <w:rsid w:val="00DE327E"/>
    <w:rsid w:val="00DE4BA5"/>
    <w:rsid w:val="00DE70D5"/>
    <w:rsid w:val="00DE728A"/>
    <w:rsid w:val="00DE73FD"/>
    <w:rsid w:val="00DE7437"/>
    <w:rsid w:val="00DF2D6C"/>
    <w:rsid w:val="00DF31BA"/>
    <w:rsid w:val="00DF3469"/>
    <w:rsid w:val="00DF34EC"/>
    <w:rsid w:val="00DF3F0C"/>
    <w:rsid w:val="00DF4F8C"/>
    <w:rsid w:val="00DF5283"/>
    <w:rsid w:val="00DF5D64"/>
    <w:rsid w:val="00DF7238"/>
    <w:rsid w:val="00DF7C56"/>
    <w:rsid w:val="00E00039"/>
    <w:rsid w:val="00E001A6"/>
    <w:rsid w:val="00E0117D"/>
    <w:rsid w:val="00E01215"/>
    <w:rsid w:val="00E02EE5"/>
    <w:rsid w:val="00E038C4"/>
    <w:rsid w:val="00E03B84"/>
    <w:rsid w:val="00E04516"/>
    <w:rsid w:val="00E06013"/>
    <w:rsid w:val="00E067FC"/>
    <w:rsid w:val="00E06ECD"/>
    <w:rsid w:val="00E0752F"/>
    <w:rsid w:val="00E07960"/>
    <w:rsid w:val="00E07C37"/>
    <w:rsid w:val="00E10C55"/>
    <w:rsid w:val="00E10E87"/>
    <w:rsid w:val="00E110BC"/>
    <w:rsid w:val="00E11172"/>
    <w:rsid w:val="00E1140D"/>
    <w:rsid w:val="00E11C82"/>
    <w:rsid w:val="00E141AC"/>
    <w:rsid w:val="00E142E7"/>
    <w:rsid w:val="00E14ECC"/>
    <w:rsid w:val="00E1534B"/>
    <w:rsid w:val="00E158E2"/>
    <w:rsid w:val="00E15A33"/>
    <w:rsid w:val="00E1632D"/>
    <w:rsid w:val="00E16407"/>
    <w:rsid w:val="00E20104"/>
    <w:rsid w:val="00E24416"/>
    <w:rsid w:val="00E25684"/>
    <w:rsid w:val="00E2709D"/>
    <w:rsid w:val="00E27736"/>
    <w:rsid w:val="00E27E7C"/>
    <w:rsid w:val="00E300F2"/>
    <w:rsid w:val="00E301F3"/>
    <w:rsid w:val="00E303CC"/>
    <w:rsid w:val="00E3048A"/>
    <w:rsid w:val="00E3167B"/>
    <w:rsid w:val="00E323EE"/>
    <w:rsid w:val="00E32B7A"/>
    <w:rsid w:val="00E32DAB"/>
    <w:rsid w:val="00E33EC6"/>
    <w:rsid w:val="00E35A02"/>
    <w:rsid w:val="00E36282"/>
    <w:rsid w:val="00E3696E"/>
    <w:rsid w:val="00E36C85"/>
    <w:rsid w:val="00E37B7B"/>
    <w:rsid w:val="00E40848"/>
    <w:rsid w:val="00E40C54"/>
    <w:rsid w:val="00E4232F"/>
    <w:rsid w:val="00E428BE"/>
    <w:rsid w:val="00E44627"/>
    <w:rsid w:val="00E44900"/>
    <w:rsid w:val="00E4506F"/>
    <w:rsid w:val="00E4519C"/>
    <w:rsid w:val="00E455DD"/>
    <w:rsid w:val="00E45DBA"/>
    <w:rsid w:val="00E46C51"/>
    <w:rsid w:val="00E473FD"/>
    <w:rsid w:val="00E47DF0"/>
    <w:rsid w:val="00E50028"/>
    <w:rsid w:val="00E51D95"/>
    <w:rsid w:val="00E51EAD"/>
    <w:rsid w:val="00E52127"/>
    <w:rsid w:val="00E53E66"/>
    <w:rsid w:val="00E56117"/>
    <w:rsid w:val="00E573F0"/>
    <w:rsid w:val="00E6031F"/>
    <w:rsid w:val="00E60DE1"/>
    <w:rsid w:val="00E61F74"/>
    <w:rsid w:val="00E622A9"/>
    <w:rsid w:val="00E62AFF"/>
    <w:rsid w:val="00E62B6A"/>
    <w:rsid w:val="00E62E6A"/>
    <w:rsid w:val="00E630A8"/>
    <w:rsid w:val="00E631A4"/>
    <w:rsid w:val="00E635F4"/>
    <w:rsid w:val="00E63CD6"/>
    <w:rsid w:val="00E63E9C"/>
    <w:rsid w:val="00E6449D"/>
    <w:rsid w:val="00E64CB2"/>
    <w:rsid w:val="00E656FF"/>
    <w:rsid w:val="00E66156"/>
    <w:rsid w:val="00E66D21"/>
    <w:rsid w:val="00E6747A"/>
    <w:rsid w:val="00E67986"/>
    <w:rsid w:val="00E67C4E"/>
    <w:rsid w:val="00E7027B"/>
    <w:rsid w:val="00E707CD"/>
    <w:rsid w:val="00E71BA9"/>
    <w:rsid w:val="00E71F99"/>
    <w:rsid w:val="00E72A7E"/>
    <w:rsid w:val="00E741A9"/>
    <w:rsid w:val="00E75D23"/>
    <w:rsid w:val="00E76BD1"/>
    <w:rsid w:val="00E77118"/>
    <w:rsid w:val="00E807A6"/>
    <w:rsid w:val="00E82C05"/>
    <w:rsid w:val="00E832B2"/>
    <w:rsid w:val="00E83F64"/>
    <w:rsid w:val="00E848DB"/>
    <w:rsid w:val="00E84D43"/>
    <w:rsid w:val="00E858B6"/>
    <w:rsid w:val="00E85BC2"/>
    <w:rsid w:val="00E860D6"/>
    <w:rsid w:val="00E86C0C"/>
    <w:rsid w:val="00E86F19"/>
    <w:rsid w:val="00E86FEC"/>
    <w:rsid w:val="00E90799"/>
    <w:rsid w:val="00E94025"/>
    <w:rsid w:val="00E943F3"/>
    <w:rsid w:val="00E95888"/>
    <w:rsid w:val="00E95A29"/>
    <w:rsid w:val="00E963CE"/>
    <w:rsid w:val="00E96988"/>
    <w:rsid w:val="00E974F6"/>
    <w:rsid w:val="00EA0374"/>
    <w:rsid w:val="00EA128F"/>
    <w:rsid w:val="00EA1EBA"/>
    <w:rsid w:val="00EA26FE"/>
    <w:rsid w:val="00EA2C67"/>
    <w:rsid w:val="00EA3680"/>
    <w:rsid w:val="00EA39C7"/>
    <w:rsid w:val="00EA3FB0"/>
    <w:rsid w:val="00EA4232"/>
    <w:rsid w:val="00EA56CE"/>
    <w:rsid w:val="00EA60D0"/>
    <w:rsid w:val="00EA679A"/>
    <w:rsid w:val="00EA77C3"/>
    <w:rsid w:val="00EA7B5C"/>
    <w:rsid w:val="00EB003D"/>
    <w:rsid w:val="00EB151B"/>
    <w:rsid w:val="00EB1B90"/>
    <w:rsid w:val="00EB35C1"/>
    <w:rsid w:val="00EB3A97"/>
    <w:rsid w:val="00EB3E3E"/>
    <w:rsid w:val="00EB404F"/>
    <w:rsid w:val="00EB4194"/>
    <w:rsid w:val="00EB41A8"/>
    <w:rsid w:val="00EB4B38"/>
    <w:rsid w:val="00EB66B8"/>
    <w:rsid w:val="00EB6C91"/>
    <w:rsid w:val="00EB769F"/>
    <w:rsid w:val="00EB7868"/>
    <w:rsid w:val="00EB790D"/>
    <w:rsid w:val="00EC0778"/>
    <w:rsid w:val="00EC1B74"/>
    <w:rsid w:val="00EC1FE1"/>
    <w:rsid w:val="00EC2353"/>
    <w:rsid w:val="00EC345A"/>
    <w:rsid w:val="00EC3AE0"/>
    <w:rsid w:val="00EC40CD"/>
    <w:rsid w:val="00EC456A"/>
    <w:rsid w:val="00EC46E9"/>
    <w:rsid w:val="00EC5136"/>
    <w:rsid w:val="00EC65BB"/>
    <w:rsid w:val="00EC6FF6"/>
    <w:rsid w:val="00EC7289"/>
    <w:rsid w:val="00EC753C"/>
    <w:rsid w:val="00EC78A0"/>
    <w:rsid w:val="00EC7AE7"/>
    <w:rsid w:val="00ED03E1"/>
    <w:rsid w:val="00ED24AC"/>
    <w:rsid w:val="00ED2CE0"/>
    <w:rsid w:val="00ED355F"/>
    <w:rsid w:val="00ED4BAE"/>
    <w:rsid w:val="00ED62E3"/>
    <w:rsid w:val="00ED645C"/>
    <w:rsid w:val="00ED6E2D"/>
    <w:rsid w:val="00ED7094"/>
    <w:rsid w:val="00ED74C8"/>
    <w:rsid w:val="00ED78BA"/>
    <w:rsid w:val="00ED78EC"/>
    <w:rsid w:val="00ED7FE9"/>
    <w:rsid w:val="00EE13BD"/>
    <w:rsid w:val="00EE1EE6"/>
    <w:rsid w:val="00EE1EEA"/>
    <w:rsid w:val="00EE1EF7"/>
    <w:rsid w:val="00EE23DF"/>
    <w:rsid w:val="00EE4CDF"/>
    <w:rsid w:val="00EE51C1"/>
    <w:rsid w:val="00EE6934"/>
    <w:rsid w:val="00EE79C2"/>
    <w:rsid w:val="00EF009C"/>
    <w:rsid w:val="00EF0151"/>
    <w:rsid w:val="00EF03D6"/>
    <w:rsid w:val="00EF0463"/>
    <w:rsid w:val="00EF0693"/>
    <w:rsid w:val="00EF0AF3"/>
    <w:rsid w:val="00EF0D50"/>
    <w:rsid w:val="00EF257A"/>
    <w:rsid w:val="00EF38AE"/>
    <w:rsid w:val="00EF52F8"/>
    <w:rsid w:val="00EF55F3"/>
    <w:rsid w:val="00EF5DEA"/>
    <w:rsid w:val="00EF677A"/>
    <w:rsid w:val="00EF6DA1"/>
    <w:rsid w:val="00EF759A"/>
    <w:rsid w:val="00F00D72"/>
    <w:rsid w:val="00F00F7A"/>
    <w:rsid w:val="00F0209D"/>
    <w:rsid w:val="00F023E0"/>
    <w:rsid w:val="00F02558"/>
    <w:rsid w:val="00F03B5C"/>
    <w:rsid w:val="00F03CD4"/>
    <w:rsid w:val="00F04075"/>
    <w:rsid w:val="00F05606"/>
    <w:rsid w:val="00F0750F"/>
    <w:rsid w:val="00F075B7"/>
    <w:rsid w:val="00F07901"/>
    <w:rsid w:val="00F07999"/>
    <w:rsid w:val="00F1007A"/>
    <w:rsid w:val="00F109F5"/>
    <w:rsid w:val="00F113C9"/>
    <w:rsid w:val="00F11858"/>
    <w:rsid w:val="00F132FA"/>
    <w:rsid w:val="00F143B3"/>
    <w:rsid w:val="00F14E25"/>
    <w:rsid w:val="00F15F5B"/>
    <w:rsid w:val="00F1642A"/>
    <w:rsid w:val="00F2064F"/>
    <w:rsid w:val="00F21A01"/>
    <w:rsid w:val="00F22A44"/>
    <w:rsid w:val="00F2396A"/>
    <w:rsid w:val="00F240E9"/>
    <w:rsid w:val="00F250D7"/>
    <w:rsid w:val="00F25545"/>
    <w:rsid w:val="00F2568F"/>
    <w:rsid w:val="00F263B2"/>
    <w:rsid w:val="00F26968"/>
    <w:rsid w:val="00F269BC"/>
    <w:rsid w:val="00F27D8C"/>
    <w:rsid w:val="00F30743"/>
    <w:rsid w:val="00F30938"/>
    <w:rsid w:val="00F31D36"/>
    <w:rsid w:val="00F326EF"/>
    <w:rsid w:val="00F330F9"/>
    <w:rsid w:val="00F33676"/>
    <w:rsid w:val="00F33F67"/>
    <w:rsid w:val="00F3457C"/>
    <w:rsid w:val="00F367D7"/>
    <w:rsid w:val="00F40B08"/>
    <w:rsid w:val="00F40E2B"/>
    <w:rsid w:val="00F411B9"/>
    <w:rsid w:val="00F41C8E"/>
    <w:rsid w:val="00F425A7"/>
    <w:rsid w:val="00F42C18"/>
    <w:rsid w:val="00F431C8"/>
    <w:rsid w:val="00F434B8"/>
    <w:rsid w:val="00F4440E"/>
    <w:rsid w:val="00F44C73"/>
    <w:rsid w:val="00F44F6E"/>
    <w:rsid w:val="00F45171"/>
    <w:rsid w:val="00F45FA4"/>
    <w:rsid w:val="00F460BB"/>
    <w:rsid w:val="00F4612A"/>
    <w:rsid w:val="00F471EA"/>
    <w:rsid w:val="00F5013F"/>
    <w:rsid w:val="00F50419"/>
    <w:rsid w:val="00F5071C"/>
    <w:rsid w:val="00F50FEB"/>
    <w:rsid w:val="00F518EF"/>
    <w:rsid w:val="00F540D5"/>
    <w:rsid w:val="00F54611"/>
    <w:rsid w:val="00F548DF"/>
    <w:rsid w:val="00F55010"/>
    <w:rsid w:val="00F55135"/>
    <w:rsid w:val="00F5633C"/>
    <w:rsid w:val="00F57A07"/>
    <w:rsid w:val="00F623F0"/>
    <w:rsid w:val="00F627B5"/>
    <w:rsid w:val="00F629DF"/>
    <w:rsid w:val="00F63069"/>
    <w:rsid w:val="00F65BC8"/>
    <w:rsid w:val="00F65F24"/>
    <w:rsid w:val="00F66DE5"/>
    <w:rsid w:val="00F67315"/>
    <w:rsid w:val="00F67C54"/>
    <w:rsid w:val="00F71007"/>
    <w:rsid w:val="00F7114A"/>
    <w:rsid w:val="00F727EA"/>
    <w:rsid w:val="00F74382"/>
    <w:rsid w:val="00F762EA"/>
    <w:rsid w:val="00F76FF6"/>
    <w:rsid w:val="00F7742A"/>
    <w:rsid w:val="00F77447"/>
    <w:rsid w:val="00F813B2"/>
    <w:rsid w:val="00F81B8A"/>
    <w:rsid w:val="00F826A1"/>
    <w:rsid w:val="00F82764"/>
    <w:rsid w:val="00F83C33"/>
    <w:rsid w:val="00F8429B"/>
    <w:rsid w:val="00F84BF2"/>
    <w:rsid w:val="00F86255"/>
    <w:rsid w:val="00F87B55"/>
    <w:rsid w:val="00F87EB9"/>
    <w:rsid w:val="00F87FA5"/>
    <w:rsid w:val="00F90687"/>
    <w:rsid w:val="00F91584"/>
    <w:rsid w:val="00F92BE3"/>
    <w:rsid w:val="00F92ED6"/>
    <w:rsid w:val="00F9345E"/>
    <w:rsid w:val="00F93D29"/>
    <w:rsid w:val="00F93ED3"/>
    <w:rsid w:val="00F94583"/>
    <w:rsid w:val="00F959E9"/>
    <w:rsid w:val="00F9657C"/>
    <w:rsid w:val="00F96649"/>
    <w:rsid w:val="00F9700A"/>
    <w:rsid w:val="00F979E0"/>
    <w:rsid w:val="00FA0033"/>
    <w:rsid w:val="00FA0D6F"/>
    <w:rsid w:val="00FA1B26"/>
    <w:rsid w:val="00FA1FF3"/>
    <w:rsid w:val="00FA2A53"/>
    <w:rsid w:val="00FA2E7B"/>
    <w:rsid w:val="00FA385E"/>
    <w:rsid w:val="00FA3FF2"/>
    <w:rsid w:val="00FA4280"/>
    <w:rsid w:val="00FA4500"/>
    <w:rsid w:val="00FA56D1"/>
    <w:rsid w:val="00FA56FC"/>
    <w:rsid w:val="00FA6926"/>
    <w:rsid w:val="00FA726F"/>
    <w:rsid w:val="00FA79BC"/>
    <w:rsid w:val="00FA7B50"/>
    <w:rsid w:val="00FA7ECA"/>
    <w:rsid w:val="00FB0292"/>
    <w:rsid w:val="00FB03A4"/>
    <w:rsid w:val="00FB1266"/>
    <w:rsid w:val="00FB144C"/>
    <w:rsid w:val="00FB1815"/>
    <w:rsid w:val="00FB274A"/>
    <w:rsid w:val="00FB2F37"/>
    <w:rsid w:val="00FB31AF"/>
    <w:rsid w:val="00FB342A"/>
    <w:rsid w:val="00FB3787"/>
    <w:rsid w:val="00FB399A"/>
    <w:rsid w:val="00FB52F7"/>
    <w:rsid w:val="00FB56B8"/>
    <w:rsid w:val="00FB5D98"/>
    <w:rsid w:val="00FB5F9C"/>
    <w:rsid w:val="00FB68EC"/>
    <w:rsid w:val="00FC2950"/>
    <w:rsid w:val="00FC3ABE"/>
    <w:rsid w:val="00FC3DAC"/>
    <w:rsid w:val="00FC49C3"/>
    <w:rsid w:val="00FC5B9F"/>
    <w:rsid w:val="00FC5C23"/>
    <w:rsid w:val="00FC6765"/>
    <w:rsid w:val="00FC6ABB"/>
    <w:rsid w:val="00FC7B29"/>
    <w:rsid w:val="00FD1F22"/>
    <w:rsid w:val="00FD26F4"/>
    <w:rsid w:val="00FD2832"/>
    <w:rsid w:val="00FD4AFE"/>
    <w:rsid w:val="00FD5AB1"/>
    <w:rsid w:val="00FD67F1"/>
    <w:rsid w:val="00FD6A9C"/>
    <w:rsid w:val="00FD6AFE"/>
    <w:rsid w:val="00FD6F5B"/>
    <w:rsid w:val="00FD6FBD"/>
    <w:rsid w:val="00FD76DC"/>
    <w:rsid w:val="00FE0E79"/>
    <w:rsid w:val="00FE10C5"/>
    <w:rsid w:val="00FE2140"/>
    <w:rsid w:val="00FE26FF"/>
    <w:rsid w:val="00FE279D"/>
    <w:rsid w:val="00FE3479"/>
    <w:rsid w:val="00FE348B"/>
    <w:rsid w:val="00FE34C8"/>
    <w:rsid w:val="00FE4023"/>
    <w:rsid w:val="00FE42AA"/>
    <w:rsid w:val="00FE4F89"/>
    <w:rsid w:val="00FE50F2"/>
    <w:rsid w:val="00FE67E1"/>
    <w:rsid w:val="00FE79D5"/>
    <w:rsid w:val="00FF023F"/>
    <w:rsid w:val="00FF0330"/>
    <w:rsid w:val="00FF132B"/>
    <w:rsid w:val="00FF1B7D"/>
    <w:rsid w:val="00FF26D4"/>
    <w:rsid w:val="00FF56F5"/>
    <w:rsid w:val="00FF776E"/>
    <w:rsid w:val="02C62933"/>
    <w:rsid w:val="08A155CB"/>
    <w:rsid w:val="0A805ABD"/>
    <w:rsid w:val="0AF70A0F"/>
    <w:rsid w:val="0E0A79DB"/>
    <w:rsid w:val="17A11EC2"/>
    <w:rsid w:val="19281AE2"/>
    <w:rsid w:val="1EBA6D4A"/>
    <w:rsid w:val="1FE26B1A"/>
    <w:rsid w:val="1FFA6980"/>
    <w:rsid w:val="218944CC"/>
    <w:rsid w:val="246E3DEE"/>
    <w:rsid w:val="27BC6008"/>
    <w:rsid w:val="2BF019FF"/>
    <w:rsid w:val="2C177F42"/>
    <w:rsid w:val="2E701821"/>
    <w:rsid w:val="2F477051"/>
    <w:rsid w:val="319508BB"/>
    <w:rsid w:val="3330332D"/>
    <w:rsid w:val="33650954"/>
    <w:rsid w:val="3569286C"/>
    <w:rsid w:val="35A46254"/>
    <w:rsid w:val="388D2FD0"/>
    <w:rsid w:val="3CE27D8E"/>
    <w:rsid w:val="41D24EBA"/>
    <w:rsid w:val="45A100BA"/>
    <w:rsid w:val="49543DC1"/>
    <w:rsid w:val="49CB3958"/>
    <w:rsid w:val="4B1D7612"/>
    <w:rsid w:val="4C6267F5"/>
    <w:rsid w:val="4CF939B9"/>
    <w:rsid w:val="4D5123C6"/>
    <w:rsid w:val="4EDB4C0E"/>
    <w:rsid w:val="4F15341D"/>
    <w:rsid w:val="4F7C696C"/>
    <w:rsid w:val="52BE04FE"/>
    <w:rsid w:val="56665134"/>
    <w:rsid w:val="571F7091"/>
    <w:rsid w:val="59AD307A"/>
    <w:rsid w:val="5A9941B5"/>
    <w:rsid w:val="5F5A2D35"/>
    <w:rsid w:val="620121B5"/>
    <w:rsid w:val="643248A8"/>
    <w:rsid w:val="65856C59"/>
    <w:rsid w:val="6A33268F"/>
    <w:rsid w:val="6BF1329A"/>
    <w:rsid w:val="72624799"/>
    <w:rsid w:val="747A24F4"/>
    <w:rsid w:val="79F71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8"/>
    <w:unhideWhenUsed/>
    <w:qFormat/>
    <w:uiPriority w:val="99"/>
    <w:rPr>
      <w:rFonts w:ascii="宋体" w:hAnsi="Courier New" w:eastAsia="宋体" w:cs="Courier New"/>
      <w:szCs w:val="21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纯文本 Char"/>
    <w:basedOn w:val="6"/>
    <w:link w:val="2"/>
    <w:qFormat/>
    <w:uiPriority w:val="99"/>
    <w:rPr>
      <w:rFonts w:ascii="宋体" w:hAnsi="Courier New" w:eastAsia="宋体" w:cs="Courier New"/>
      <w:szCs w:val="21"/>
    </w:rPr>
  </w:style>
  <w:style w:type="character" w:customStyle="1" w:styleId="9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97197-6AE1-4BD7-87E7-A2F1A04024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86</Pages>
  <Words>568</Words>
  <Characters>3793</Characters>
  <Lines>1</Lines>
  <Paragraphs>1</Paragraphs>
  <TotalTime>97</TotalTime>
  <ScaleCrop>false</ScaleCrop>
  <LinksUpToDate>false</LinksUpToDate>
  <CharactersWithSpaces>4310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2025-10-11T03:52:00Z</dcterms:created>
  <dc:creator>bnds</dc:creator>
  <cp:lastModifiedBy>朱晓丽</cp:lastModifiedBy>
  <dcterms:modified xsi:type="dcterms:W3CDTF">2026-10-12T06:02:10Z</dcterms:modified>
  <cp:revision>398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eyJoZGlkIjoiMzYwOTRkYTgyYmFkYWY1OGIzMTE1N2NiY2ZlNjY2NzMiLCJ1c2VySWQiOiI1NDAxMTY4MjQifQ==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82B916CFBC064D65A86BB70ACDA89DE5_12</vt:lpwstr>
  </property>
</Properties>
</file>