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E5D" w:rsidRPr="00842D92" w:rsidRDefault="002D1E5D" w:rsidP="002D1E5D">
      <w:pPr>
        <w:spacing w:line="360" w:lineRule="auto"/>
        <w:jc w:val="center"/>
        <w:rPr>
          <w:rFonts w:ascii="宋体" w:eastAsia="宋体" w:hAnsi="宋体" w:cs="宋体"/>
          <w:b/>
          <w:sz w:val="28"/>
          <w:szCs w:val="28"/>
        </w:rPr>
      </w:pPr>
      <w:r w:rsidRPr="00842D92">
        <w:rPr>
          <w:rFonts w:ascii="宋体" w:eastAsia="宋体" w:hAnsi="宋体" w:cs="宋体" w:hint="eastAsia"/>
          <w:b/>
          <w:sz w:val="28"/>
          <w:szCs w:val="28"/>
        </w:rPr>
        <w:t>202</w:t>
      </w:r>
      <w:r w:rsidR="00F00B39">
        <w:rPr>
          <w:rFonts w:ascii="宋体" w:eastAsia="宋体" w:hAnsi="宋体" w:cs="宋体"/>
          <w:b/>
          <w:sz w:val="28"/>
          <w:szCs w:val="28"/>
        </w:rPr>
        <w:t>5</w:t>
      </w:r>
      <w:r w:rsidRPr="00842D92">
        <w:rPr>
          <w:rFonts w:ascii="宋体" w:eastAsia="宋体" w:hAnsi="宋体" w:cs="宋体" w:hint="eastAsia"/>
          <w:b/>
          <w:sz w:val="28"/>
          <w:szCs w:val="28"/>
        </w:rPr>
        <w:t>年第</w:t>
      </w:r>
      <w:r w:rsidR="00D44A98">
        <w:rPr>
          <w:rFonts w:ascii="宋体" w:eastAsia="宋体" w:hAnsi="宋体" w:cs="宋体"/>
          <w:b/>
          <w:sz w:val="28"/>
          <w:szCs w:val="28"/>
        </w:rPr>
        <w:t>3</w:t>
      </w:r>
      <w:r w:rsidR="00734B72">
        <w:rPr>
          <w:rFonts w:ascii="宋体" w:eastAsia="宋体" w:hAnsi="宋体" w:cs="宋体"/>
          <w:b/>
          <w:sz w:val="28"/>
          <w:szCs w:val="28"/>
        </w:rPr>
        <w:t>6</w:t>
      </w:r>
      <w:r w:rsidRPr="00842D92">
        <w:rPr>
          <w:rFonts w:ascii="宋体" w:eastAsia="宋体" w:hAnsi="宋体" w:cs="宋体" w:hint="eastAsia"/>
          <w:b/>
          <w:sz w:val="28"/>
          <w:szCs w:val="28"/>
        </w:rPr>
        <w:t>周</w:t>
      </w:r>
    </w:p>
    <w:p w:rsidR="002D1E5D" w:rsidRPr="00842D92" w:rsidRDefault="00B45EF4" w:rsidP="002D1E5D">
      <w:pPr>
        <w:spacing w:line="360" w:lineRule="auto"/>
        <w:jc w:val="center"/>
        <w:rPr>
          <w:rFonts w:ascii="宋体" w:eastAsia="宋体" w:hAnsi="宋体" w:cs="宋体"/>
          <w:b/>
          <w:sz w:val="28"/>
          <w:szCs w:val="28"/>
        </w:rPr>
      </w:pPr>
      <w:r>
        <w:rPr>
          <w:rFonts w:ascii="宋体" w:eastAsia="宋体" w:hAnsi="宋体" w:cs="宋体" w:hint="eastAsia"/>
          <w:b/>
          <w:sz w:val="28"/>
          <w:szCs w:val="28"/>
        </w:rPr>
        <w:t>中国</w:t>
      </w:r>
      <w:r w:rsidR="002D1E5D" w:rsidRPr="00842D92">
        <w:rPr>
          <w:rFonts w:ascii="宋体" w:eastAsia="宋体" w:hAnsi="宋体" w:cs="宋体" w:hint="eastAsia"/>
          <w:b/>
          <w:sz w:val="28"/>
          <w:szCs w:val="28"/>
        </w:rPr>
        <w:t>大陆学者发表的结核病英文文章摘要</w:t>
      </w:r>
    </w:p>
    <w:p w:rsidR="002D1E5D" w:rsidRPr="00842D92" w:rsidRDefault="002D1E5D" w:rsidP="002D1E5D">
      <w:pPr>
        <w:spacing w:line="360" w:lineRule="auto"/>
        <w:jc w:val="center"/>
        <w:rPr>
          <w:rFonts w:ascii="宋体" w:eastAsia="宋体" w:hAnsi="宋体" w:cs="宋体"/>
          <w:b/>
          <w:sz w:val="28"/>
          <w:szCs w:val="28"/>
        </w:rPr>
      </w:pPr>
      <w:r w:rsidRPr="00842D92">
        <w:rPr>
          <w:rFonts w:ascii="宋体" w:eastAsia="宋体" w:hAnsi="宋体" w:cs="宋体" w:hint="eastAsia"/>
          <w:b/>
          <w:sz w:val="28"/>
          <w:szCs w:val="28"/>
        </w:rPr>
        <w:t>（</w:t>
      </w:r>
      <w:r w:rsidR="00D8107D">
        <w:rPr>
          <w:rFonts w:ascii="宋体" w:eastAsia="宋体" w:hAnsi="宋体" w:cs="宋体" w:hint="eastAsia"/>
          <w:b/>
          <w:sz w:val="28"/>
          <w:szCs w:val="28"/>
        </w:rPr>
        <w:t>2</w:t>
      </w:r>
      <w:r w:rsidR="00D8107D">
        <w:rPr>
          <w:rFonts w:ascii="宋体" w:eastAsia="宋体" w:hAnsi="宋体" w:cs="宋体"/>
          <w:b/>
          <w:sz w:val="28"/>
          <w:szCs w:val="28"/>
        </w:rPr>
        <w:t>0</w:t>
      </w:r>
      <w:r w:rsidRPr="00842D92">
        <w:rPr>
          <w:rFonts w:ascii="宋体" w:eastAsia="宋体" w:hAnsi="宋体" w:cs="宋体" w:hint="eastAsia"/>
          <w:b/>
          <w:sz w:val="28"/>
          <w:szCs w:val="28"/>
        </w:rPr>
        <w:t>篇）</w:t>
      </w:r>
    </w:p>
    <w:p w:rsidR="002D1E5D" w:rsidRPr="003F76D8" w:rsidRDefault="002D1E5D" w:rsidP="002D1E5D">
      <w:pPr>
        <w:jc w:val="left"/>
        <w:rPr>
          <w:rFonts w:ascii="宋体" w:eastAsia="宋体" w:hAnsi="宋体" w:cs="宋体"/>
          <w:szCs w:val="24"/>
        </w:rPr>
      </w:pPr>
    </w:p>
    <w:p w:rsidR="002D1E5D" w:rsidRPr="00842D92" w:rsidRDefault="002D1E5D" w:rsidP="002D1E5D">
      <w:pPr>
        <w:jc w:val="left"/>
        <w:rPr>
          <w:rFonts w:ascii="宋体" w:eastAsia="宋体" w:hAnsi="宋体" w:cs="宋体"/>
          <w:b/>
          <w:color w:val="FF0000"/>
          <w:szCs w:val="24"/>
        </w:rPr>
      </w:pPr>
      <w:r w:rsidRPr="00842D92">
        <w:rPr>
          <w:rFonts w:ascii="宋体" w:eastAsia="宋体" w:hAnsi="宋体" w:cs="宋体" w:hint="eastAsia"/>
          <w:b/>
          <w:color w:val="FF0000"/>
          <w:szCs w:val="24"/>
        </w:rPr>
        <w:t>PubMed  Publication date: 202</w:t>
      </w:r>
      <w:r w:rsidR="00F00B39">
        <w:rPr>
          <w:rFonts w:ascii="宋体" w:eastAsia="宋体" w:hAnsi="宋体" w:cs="宋体"/>
          <w:b/>
          <w:color w:val="FF0000"/>
          <w:szCs w:val="24"/>
        </w:rPr>
        <w:t>5</w:t>
      </w:r>
      <w:r w:rsidR="000E3E6F" w:rsidRPr="00842D92">
        <w:rPr>
          <w:rFonts w:ascii="宋体" w:eastAsia="宋体" w:hAnsi="宋体" w:cs="宋体" w:hint="eastAsia"/>
          <w:b/>
          <w:color w:val="FF0000"/>
          <w:szCs w:val="24"/>
        </w:rPr>
        <w:t>/</w:t>
      </w:r>
      <w:r w:rsidR="00734B72">
        <w:rPr>
          <w:rFonts w:ascii="宋体" w:eastAsia="宋体" w:hAnsi="宋体" w:cs="宋体"/>
          <w:b/>
          <w:color w:val="FF0000"/>
          <w:szCs w:val="24"/>
        </w:rPr>
        <w:t>9</w:t>
      </w:r>
      <w:r w:rsidRPr="00842D92">
        <w:rPr>
          <w:rFonts w:ascii="宋体" w:eastAsia="宋体" w:hAnsi="宋体" w:cs="宋体" w:hint="eastAsia"/>
          <w:b/>
          <w:color w:val="FF0000"/>
          <w:szCs w:val="24"/>
        </w:rPr>
        <w:t>/</w:t>
      </w:r>
      <w:r w:rsidR="00734B72">
        <w:rPr>
          <w:rFonts w:ascii="宋体" w:eastAsia="宋体" w:hAnsi="宋体" w:cs="宋体"/>
          <w:b/>
          <w:color w:val="FF0000"/>
          <w:szCs w:val="24"/>
        </w:rPr>
        <w:t>1</w:t>
      </w:r>
      <w:r w:rsidRPr="00842D92">
        <w:rPr>
          <w:rFonts w:ascii="宋体" w:eastAsia="宋体" w:hAnsi="宋体" w:cs="宋体" w:hint="eastAsia"/>
          <w:b/>
          <w:color w:val="FF0000"/>
          <w:szCs w:val="24"/>
        </w:rPr>
        <w:t>---202</w:t>
      </w:r>
      <w:r w:rsidR="00F00B39">
        <w:rPr>
          <w:rFonts w:ascii="宋体" w:eastAsia="宋体" w:hAnsi="宋体" w:cs="宋体"/>
          <w:b/>
          <w:color w:val="FF0000"/>
          <w:szCs w:val="24"/>
        </w:rPr>
        <w:t>5</w:t>
      </w:r>
      <w:r w:rsidRPr="00842D92">
        <w:rPr>
          <w:rFonts w:ascii="宋体" w:eastAsia="宋体" w:hAnsi="宋体" w:cs="宋体" w:hint="eastAsia"/>
          <w:b/>
          <w:color w:val="FF0000"/>
          <w:szCs w:val="24"/>
        </w:rPr>
        <w:t>/</w:t>
      </w:r>
      <w:r w:rsidR="00734B72">
        <w:rPr>
          <w:rFonts w:ascii="宋体" w:eastAsia="宋体" w:hAnsi="宋体" w:cs="宋体"/>
          <w:b/>
          <w:color w:val="FF0000"/>
          <w:szCs w:val="24"/>
        </w:rPr>
        <w:t>9</w:t>
      </w:r>
      <w:r w:rsidRPr="00842D92">
        <w:rPr>
          <w:rFonts w:ascii="宋体" w:eastAsia="宋体" w:hAnsi="宋体" w:cs="宋体" w:hint="eastAsia"/>
          <w:b/>
          <w:color w:val="FF0000"/>
          <w:szCs w:val="24"/>
        </w:rPr>
        <w:t>/</w:t>
      </w:r>
      <w:r w:rsidR="00734B72">
        <w:rPr>
          <w:rFonts w:ascii="宋体" w:eastAsia="宋体" w:hAnsi="宋体" w:cs="宋体"/>
          <w:b/>
          <w:color w:val="FF0000"/>
          <w:szCs w:val="24"/>
        </w:rPr>
        <w:t>7</w:t>
      </w:r>
    </w:p>
    <w:p w:rsidR="002D1E5D" w:rsidRDefault="002D1E5D" w:rsidP="002D1E5D">
      <w:pPr>
        <w:jc w:val="left"/>
        <w:rPr>
          <w:rFonts w:ascii="宋体" w:eastAsia="宋体" w:hAnsi="宋体" w:cs="宋体"/>
          <w:b/>
          <w:color w:val="FF0000"/>
          <w:szCs w:val="21"/>
        </w:rPr>
      </w:pPr>
      <w:r w:rsidRPr="00842D92">
        <w:rPr>
          <w:rFonts w:ascii="宋体" w:eastAsia="宋体" w:hAnsi="宋体" w:cs="宋体" w:hint="eastAsia"/>
          <w:b/>
          <w:color w:val="FF0000"/>
          <w:szCs w:val="21"/>
        </w:rPr>
        <w:t>(tuberculosis[Title/Abstract]) AND (English[Language]) AND</w:t>
      </w:r>
      <w:r w:rsidRPr="00842D92">
        <w:rPr>
          <w:rFonts w:ascii="宋体" w:eastAsia="宋体" w:hAnsi="宋体" w:cs="宋体"/>
          <w:b/>
          <w:color w:val="FF0000"/>
          <w:szCs w:val="21"/>
        </w:rPr>
        <w:t xml:space="preserve"> </w:t>
      </w:r>
      <w:r w:rsidRPr="00842D92">
        <w:rPr>
          <w:rFonts w:ascii="宋体" w:eastAsia="宋体" w:hAnsi="宋体" w:cs="宋体" w:hint="eastAsia"/>
          <w:b/>
          <w:color w:val="FF0000"/>
          <w:szCs w:val="21"/>
        </w:rPr>
        <w:t>(China[Affiliation])</w:t>
      </w:r>
    </w:p>
    <w:p w:rsidR="003C12BF" w:rsidRPr="003C12BF" w:rsidRDefault="003C12BF" w:rsidP="003C12BF">
      <w:pPr>
        <w:pStyle w:val="a3"/>
        <w:rPr>
          <w:rFonts w:hAnsi="宋体" w:cs="宋体"/>
        </w:rPr>
      </w:pPr>
    </w:p>
    <w:p w:rsidR="00240F93" w:rsidRPr="00C26A1F" w:rsidRDefault="00715ADB" w:rsidP="00240F93">
      <w:pPr>
        <w:rPr>
          <w:rFonts w:ascii="宋体" w:eastAsia="宋体" w:hAnsi="宋体" w:cs="宋体"/>
          <w:b/>
          <w:color w:val="FF0000"/>
          <w:szCs w:val="21"/>
        </w:rPr>
      </w:pPr>
      <w:r>
        <w:rPr>
          <w:rFonts w:ascii="宋体" w:eastAsia="宋体" w:hAnsi="宋体" w:cs="宋体"/>
          <w:b/>
          <w:color w:val="FF0000"/>
          <w:szCs w:val="21"/>
        </w:rPr>
        <w:t>1</w:t>
      </w:r>
      <w:r w:rsidR="00240F93" w:rsidRPr="00C26A1F">
        <w:rPr>
          <w:rFonts w:ascii="宋体" w:eastAsia="宋体" w:hAnsi="宋体" w:cs="宋体"/>
          <w:b/>
          <w:color w:val="FF0000"/>
          <w:szCs w:val="21"/>
        </w:rPr>
        <w:t xml:space="preserve">. Eur J Pharmacol. 2025 Aug 28:178102. doi: 10.1016/j.ejphar.2025.178102. Online </w:t>
      </w:r>
    </w:p>
    <w:p w:rsidR="00240F93" w:rsidRPr="00C26A1F" w:rsidRDefault="00240F93" w:rsidP="00240F93">
      <w:pPr>
        <w:rPr>
          <w:rFonts w:ascii="宋体" w:eastAsia="宋体" w:hAnsi="宋体" w:cs="宋体"/>
          <w:b/>
          <w:color w:val="FF0000"/>
          <w:szCs w:val="21"/>
        </w:rPr>
      </w:pPr>
      <w:r w:rsidRPr="00C26A1F">
        <w:rPr>
          <w:rFonts w:ascii="宋体" w:eastAsia="宋体" w:hAnsi="宋体" w:cs="宋体"/>
          <w:b/>
          <w:color w:val="FF0000"/>
          <w:szCs w:val="21"/>
        </w:rPr>
        <w:t>ahead of print.</w:t>
      </w:r>
    </w:p>
    <w:p w:rsidR="00240F93" w:rsidRPr="00BA69CA" w:rsidRDefault="00240F93" w:rsidP="00240F93">
      <w:pPr>
        <w:rPr>
          <w:rFonts w:ascii="宋体" w:eastAsia="宋体" w:hAnsi="宋体" w:cs="宋体"/>
          <w:szCs w:val="21"/>
        </w:rPr>
      </w:pPr>
    </w:p>
    <w:p w:rsidR="00240F93" w:rsidRPr="00BA69CA" w:rsidRDefault="00240F93" w:rsidP="00240F93">
      <w:pPr>
        <w:rPr>
          <w:rFonts w:ascii="宋体" w:eastAsia="宋体" w:hAnsi="宋体" w:cs="宋体"/>
          <w:szCs w:val="21"/>
        </w:rPr>
      </w:pPr>
      <w:r w:rsidRPr="00BA69CA">
        <w:rPr>
          <w:rFonts w:ascii="宋体" w:eastAsia="宋体" w:hAnsi="宋体" w:cs="宋体"/>
          <w:szCs w:val="21"/>
        </w:rPr>
        <w:t>Tioconazole Exerts Anti-TB activity By Destroying Cell Integrity.</w:t>
      </w:r>
    </w:p>
    <w:p w:rsidR="00240F93" w:rsidRPr="00BA69CA" w:rsidRDefault="00240F93" w:rsidP="00240F93">
      <w:pPr>
        <w:rPr>
          <w:rFonts w:ascii="宋体" w:eastAsia="宋体" w:hAnsi="宋体" w:cs="宋体"/>
          <w:szCs w:val="21"/>
        </w:rPr>
      </w:pP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Chen Z(1), Wang X(1), Zhang H(1), Kong X(1), Chen J(1), Wang Q(2), Meng J(3), Lu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S(4).</w:t>
      </w:r>
    </w:p>
    <w:p w:rsidR="00240F93" w:rsidRDefault="00240F93" w:rsidP="00240F93">
      <w:pPr>
        <w:rPr>
          <w:rFonts w:ascii="宋体" w:eastAsia="宋体" w:hAnsi="宋体" w:cs="宋体"/>
          <w:szCs w:val="21"/>
        </w:rPr>
      </w:pPr>
    </w:p>
    <w:p w:rsidR="00240F93" w:rsidRPr="005B69BA" w:rsidRDefault="00240F93" w:rsidP="00240F93">
      <w:pPr>
        <w:rPr>
          <w:rFonts w:ascii="宋体" w:eastAsia="宋体" w:hAnsi="宋体" w:cs="宋体"/>
          <w:b/>
          <w:color w:val="0070C0"/>
          <w:szCs w:val="21"/>
        </w:rPr>
      </w:pPr>
      <w:r w:rsidRPr="005B69BA">
        <w:rPr>
          <w:rFonts w:ascii="宋体" w:eastAsia="宋体" w:hAnsi="宋体" w:cs="宋体"/>
          <w:b/>
          <w:color w:val="0070C0"/>
          <w:szCs w:val="21"/>
        </w:rPr>
        <w:t>Zhanpeng Chen, Xiaoming Wang, He Zhang, Xingxing Kong, Jinyun Chen, Qiong Wang, Jianzhou Meng</w:t>
      </w:r>
      <w:r w:rsidR="000A3E01">
        <w:rPr>
          <w:rFonts w:ascii="宋体" w:eastAsia="宋体" w:hAnsi="宋体" w:cs="宋体" w:hint="eastAsia"/>
          <w:b/>
          <w:color w:val="0070C0"/>
          <w:szCs w:val="21"/>
        </w:rPr>
        <w:t>*</w:t>
      </w:r>
      <w:r w:rsidRPr="005B69BA">
        <w:rPr>
          <w:rFonts w:ascii="宋体" w:eastAsia="宋体" w:hAnsi="宋体" w:cs="宋体"/>
          <w:b/>
          <w:color w:val="0070C0"/>
          <w:szCs w:val="21"/>
        </w:rPr>
        <w:t>, Shuihua Lu</w:t>
      </w:r>
      <w:r w:rsidR="000A3E01">
        <w:rPr>
          <w:rFonts w:ascii="宋体" w:eastAsia="宋体" w:hAnsi="宋体" w:cs="宋体" w:hint="eastAsia"/>
          <w:b/>
          <w:color w:val="0070C0"/>
          <w:szCs w:val="21"/>
        </w:rPr>
        <w:t>*</w:t>
      </w:r>
    </w:p>
    <w:p w:rsidR="00240F93" w:rsidRPr="000A3E01" w:rsidRDefault="000A3E01" w:rsidP="00240F93">
      <w:pPr>
        <w:rPr>
          <w:rFonts w:ascii="宋体" w:eastAsia="宋体" w:hAnsi="宋体" w:cs="宋体"/>
          <w:b/>
          <w:color w:val="0070C0"/>
          <w:szCs w:val="21"/>
        </w:rPr>
      </w:pPr>
      <w:r w:rsidRPr="000A3E01">
        <w:rPr>
          <w:rFonts w:ascii="宋体" w:eastAsia="宋体" w:hAnsi="宋体" w:cs="宋体"/>
          <w:b/>
          <w:color w:val="0070C0"/>
          <w:szCs w:val="21"/>
        </w:rPr>
        <w:t>* Corresponding author</w:t>
      </w:r>
      <w:r>
        <w:rPr>
          <w:rFonts w:ascii="宋体" w:eastAsia="宋体" w:hAnsi="宋体" w:cs="宋体"/>
          <w:b/>
          <w:color w:val="0070C0"/>
          <w:szCs w:val="21"/>
        </w:rPr>
        <w:t>s</w:t>
      </w:r>
      <w:r w:rsidRPr="000A3E01">
        <w:rPr>
          <w:rFonts w:ascii="宋体" w:eastAsia="宋体" w:hAnsi="宋体" w:cs="宋体"/>
          <w:b/>
          <w:color w:val="0070C0"/>
          <w:szCs w:val="21"/>
        </w:rPr>
        <w:t>, Jianzhou Meng</w:t>
      </w:r>
      <w:r w:rsidRPr="000A3E01">
        <w:rPr>
          <w:rFonts w:ascii="宋体" w:eastAsia="宋体" w:hAnsi="宋体" w:cs="宋体" w:hint="eastAsia"/>
          <w:b/>
          <w:color w:val="0070C0"/>
          <w:szCs w:val="21"/>
        </w:rPr>
        <w:t>，</w:t>
      </w:r>
      <w:r w:rsidRPr="000A3E01">
        <w:rPr>
          <w:rFonts w:ascii="宋体" w:eastAsia="宋体" w:hAnsi="宋体" w:cs="宋体"/>
          <w:b/>
          <w:color w:val="0070C0"/>
          <w:szCs w:val="21"/>
        </w:rPr>
        <w:t>E-mail addresses: mengjianzhou@126.com (J. Meng)</w:t>
      </w:r>
      <w:r>
        <w:rPr>
          <w:rFonts w:ascii="宋体" w:eastAsia="宋体" w:hAnsi="宋体" w:cs="宋体" w:hint="eastAsia"/>
          <w:b/>
          <w:color w:val="0070C0"/>
          <w:szCs w:val="21"/>
        </w:rPr>
        <w:t>；</w:t>
      </w:r>
      <w:r w:rsidRPr="000A3E01">
        <w:rPr>
          <w:rFonts w:ascii="宋体" w:eastAsia="宋体" w:hAnsi="宋体" w:cs="宋体"/>
          <w:b/>
          <w:color w:val="0070C0"/>
          <w:szCs w:val="21"/>
        </w:rPr>
        <w:t xml:space="preserve"> Shuihua Lu</w:t>
      </w:r>
      <w:r w:rsidRPr="000A3E01">
        <w:rPr>
          <w:rFonts w:ascii="宋体" w:eastAsia="宋体" w:hAnsi="宋体" w:cs="宋体" w:hint="eastAsia"/>
          <w:b/>
          <w:color w:val="0070C0"/>
          <w:szCs w:val="21"/>
        </w:rPr>
        <w:t>，</w:t>
      </w:r>
      <w:r w:rsidRPr="000A3E01">
        <w:rPr>
          <w:rFonts w:ascii="宋体" w:eastAsia="宋体" w:hAnsi="宋体" w:cs="宋体"/>
          <w:b/>
          <w:color w:val="0070C0"/>
          <w:szCs w:val="21"/>
        </w:rPr>
        <w:t>lushuihua66@126.com (S. Lu).</w:t>
      </w:r>
    </w:p>
    <w:p w:rsidR="00240F93" w:rsidRDefault="00240F93" w:rsidP="00240F93">
      <w:pPr>
        <w:rPr>
          <w:rFonts w:ascii="宋体" w:eastAsia="宋体" w:hAnsi="宋体" w:cs="宋体"/>
          <w:szCs w:val="21"/>
        </w:rPr>
      </w:pPr>
    </w:p>
    <w:p w:rsidR="00240F93" w:rsidRPr="00BA69CA" w:rsidRDefault="00240F93" w:rsidP="00240F93">
      <w:pPr>
        <w:rPr>
          <w:rFonts w:ascii="宋体" w:eastAsia="宋体" w:hAnsi="宋体" w:cs="宋体"/>
          <w:szCs w:val="21"/>
        </w:rPr>
      </w:pPr>
      <w:r w:rsidRPr="00BA69CA">
        <w:rPr>
          <w:rFonts w:ascii="宋体" w:eastAsia="宋体" w:hAnsi="宋体" w:cs="宋体"/>
          <w:szCs w:val="21"/>
        </w:rPr>
        <w:t>Author information:</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(1)National Clinical Research Center for Infectious Diseases, Shenzhen Third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People's Hospital, Shenzhen, Guangdong, China.</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(2)Department of Pharmacy, Shenzhen University General Hospital, Shenzhen,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China.</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(3)National Clinical Research Center for Infectious Diseases, Shenzhen Third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People's Hospital, Shenzhen, Guangdong, China. Electronic address: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mengjianzhou@126.com.</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(4)National Clinical Research Center for Infectious Diseases, Shenzhen Third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People's Hospital, Shenzhen, Guangdong, China. Electronic address: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lushuihua66@126.com.</w:t>
      </w:r>
    </w:p>
    <w:p w:rsidR="00240F93" w:rsidRPr="00BA69CA" w:rsidRDefault="00240F93" w:rsidP="00240F93">
      <w:pPr>
        <w:rPr>
          <w:rFonts w:ascii="宋体" w:eastAsia="宋体" w:hAnsi="宋体" w:cs="宋体"/>
          <w:szCs w:val="21"/>
        </w:rPr>
      </w:pP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The increasing prevalence of drug-resistant tuberculosis (TB), coupled with the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lengthy and toxic nature of conventional treatments and the complicating factor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of Human Immunodeficiency Virus (HIV) co-infection, underscores the urgent need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for the development of effective anti-TB drugs and robust stockpiles to combat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this global health crisis. In this study, the anti-tubercular activity and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potential antibacterial mechanisms of tioconazole were investigated. Tioconazole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exhibited remarkable antibacterial activity against Mtb H37Ra and H37Rv, with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minimum inhibitory concentrations (MICs) of 4 μg/mL and 1μg/mL respectively.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While cholesterol or palmitic acid was utilized as a solo carbon source, its MIC </w:t>
      </w:r>
    </w:p>
    <w:p w:rsidR="00240F93" w:rsidRPr="00BA69CA" w:rsidRDefault="00240F93" w:rsidP="00240F93">
      <w:pPr>
        <w:rPr>
          <w:rFonts w:ascii="宋体" w:eastAsia="宋体" w:hAnsi="宋体" w:cs="宋体"/>
          <w:szCs w:val="21"/>
        </w:rPr>
      </w:pPr>
      <w:r w:rsidRPr="00BA69CA">
        <w:rPr>
          <w:rFonts w:ascii="宋体" w:eastAsia="宋体" w:hAnsi="宋体" w:cs="宋体"/>
          <w:szCs w:val="21"/>
        </w:rPr>
        <w:lastRenderedPageBreak/>
        <w:t xml:space="preserve">against Mtb H37Ra decreased to 2 μg/mL. Mtb H37Ra CYP121 conditional mutant was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more sensitive to tioconazole in comparison with Mtb H37Ra in the presence of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the pristinamycin (0.1μg/mL and 0.001μg/mL). Further experiments demonstrated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that treatment with 0.5 × MIC of tioconazole (2μg/mL) for five days resulted in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the formation of invagination and bulge on the surfaces of Mtb cells.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Concurrently, intracellular ATP levels decreased by nearly 50%, likely due to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the inhibition of lipid metabolism by tioconazole, which compromises the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integrity of the cell wall and cell membrane. Taken together, these findings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suggest that tioconazole may serve as a novel anti-TB agent, exerting anti-TB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activities by disrupting the structural integrity of the pathogen's cells.</w:t>
      </w:r>
    </w:p>
    <w:p w:rsidR="00240F93" w:rsidRPr="00BA69CA" w:rsidRDefault="00240F93" w:rsidP="00240F93">
      <w:pPr>
        <w:rPr>
          <w:rFonts w:ascii="宋体" w:eastAsia="宋体" w:hAnsi="宋体" w:cs="宋体"/>
          <w:szCs w:val="21"/>
        </w:rPr>
      </w:pPr>
    </w:p>
    <w:p w:rsidR="00240F93" w:rsidRPr="00BA69CA" w:rsidRDefault="00240F93" w:rsidP="00240F93">
      <w:pPr>
        <w:rPr>
          <w:rFonts w:ascii="宋体" w:eastAsia="宋体" w:hAnsi="宋体" w:cs="宋体"/>
          <w:szCs w:val="21"/>
        </w:rPr>
      </w:pPr>
      <w:r w:rsidRPr="00BA69CA">
        <w:rPr>
          <w:rFonts w:ascii="宋体" w:eastAsia="宋体" w:hAnsi="宋体" w:cs="宋体"/>
          <w:szCs w:val="21"/>
        </w:rPr>
        <w:t>Copyright © 2025. Published by Elsevier B.V.</w:t>
      </w:r>
    </w:p>
    <w:p w:rsidR="00240F93" w:rsidRPr="00BA69CA" w:rsidRDefault="00240F93" w:rsidP="00240F93">
      <w:pPr>
        <w:rPr>
          <w:rFonts w:ascii="宋体" w:eastAsia="宋体" w:hAnsi="宋体" w:cs="宋体"/>
          <w:szCs w:val="21"/>
        </w:rPr>
      </w:pPr>
    </w:p>
    <w:p w:rsidR="00240F93" w:rsidRPr="00BA69CA" w:rsidRDefault="00240F93" w:rsidP="00240F93">
      <w:pPr>
        <w:rPr>
          <w:rFonts w:ascii="宋体" w:eastAsia="宋体" w:hAnsi="宋体" w:cs="宋体"/>
          <w:szCs w:val="21"/>
        </w:rPr>
      </w:pPr>
      <w:r w:rsidRPr="00BA69CA">
        <w:rPr>
          <w:rFonts w:ascii="宋体" w:eastAsia="宋体" w:hAnsi="宋体" w:cs="宋体"/>
          <w:szCs w:val="21"/>
        </w:rPr>
        <w:t>DOI: 10.1016/j.ejphar.2025.178102</w:t>
      </w:r>
    </w:p>
    <w:p w:rsidR="00240F93" w:rsidRPr="00BA69CA" w:rsidRDefault="00240F93" w:rsidP="00240F93">
      <w:pPr>
        <w:rPr>
          <w:rFonts w:ascii="宋体" w:eastAsia="宋体" w:hAnsi="宋体" w:cs="宋体"/>
          <w:szCs w:val="21"/>
        </w:rPr>
      </w:pPr>
      <w:r w:rsidRPr="00BA69CA">
        <w:rPr>
          <w:rFonts w:ascii="宋体" w:eastAsia="宋体" w:hAnsi="宋体" w:cs="宋体"/>
          <w:szCs w:val="21"/>
        </w:rPr>
        <w:t>PMID: 40885237</w:t>
      </w:r>
    </w:p>
    <w:p w:rsidR="00240F93" w:rsidRPr="00BA69CA" w:rsidRDefault="00240F93" w:rsidP="00240F93">
      <w:pPr>
        <w:rPr>
          <w:rFonts w:ascii="宋体" w:eastAsia="宋体" w:hAnsi="宋体" w:cs="宋体"/>
          <w:szCs w:val="21"/>
        </w:rPr>
      </w:pPr>
    </w:p>
    <w:p w:rsidR="00240F93" w:rsidRPr="00C26A1F" w:rsidRDefault="00715ADB" w:rsidP="00240F93">
      <w:pPr>
        <w:rPr>
          <w:rFonts w:ascii="宋体" w:eastAsia="宋体" w:hAnsi="宋体" w:cs="宋体"/>
          <w:b/>
          <w:color w:val="FF0000"/>
          <w:szCs w:val="21"/>
        </w:rPr>
      </w:pPr>
      <w:r>
        <w:rPr>
          <w:rFonts w:ascii="宋体" w:eastAsia="宋体" w:hAnsi="宋体" w:cs="宋体"/>
          <w:b/>
          <w:color w:val="FF0000"/>
          <w:szCs w:val="21"/>
        </w:rPr>
        <w:t>2</w:t>
      </w:r>
      <w:r w:rsidR="00240F93" w:rsidRPr="00C26A1F">
        <w:rPr>
          <w:rFonts w:ascii="宋体" w:eastAsia="宋体" w:hAnsi="宋体" w:cs="宋体"/>
          <w:b/>
          <w:color w:val="FF0000"/>
          <w:szCs w:val="21"/>
        </w:rPr>
        <w:t xml:space="preserve">. J Immunol Methods. 2025 Aug 28:113969. doi: 10.1016/j.jim.2025.113969. Online </w:t>
      </w:r>
    </w:p>
    <w:p w:rsidR="00240F93" w:rsidRPr="00C26A1F" w:rsidRDefault="00240F93" w:rsidP="00240F93">
      <w:pPr>
        <w:rPr>
          <w:rFonts w:ascii="宋体" w:eastAsia="宋体" w:hAnsi="宋体" w:cs="宋体"/>
          <w:b/>
          <w:color w:val="FF0000"/>
          <w:szCs w:val="21"/>
        </w:rPr>
      </w:pPr>
      <w:r w:rsidRPr="00C26A1F">
        <w:rPr>
          <w:rFonts w:ascii="宋体" w:eastAsia="宋体" w:hAnsi="宋体" w:cs="宋体"/>
          <w:b/>
          <w:color w:val="FF0000"/>
          <w:szCs w:val="21"/>
        </w:rPr>
        <w:t>ahead of print.</w:t>
      </w:r>
    </w:p>
    <w:p w:rsidR="00240F93" w:rsidRPr="00BA69CA" w:rsidRDefault="00240F93" w:rsidP="00240F93">
      <w:pPr>
        <w:rPr>
          <w:rFonts w:ascii="宋体" w:eastAsia="宋体" w:hAnsi="宋体" w:cs="宋体"/>
          <w:szCs w:val="21"/>
        </w:rPr>
      </w:pP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Immunogenicity, biodistribution, and toxicology evaluation of Mycobacterium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tuberculosis ag85a plasmid DNA in cynomolgus monkeys, mice and guinea pigs.</w:t>
      </w:r>
    </w:p>
    <w:p w:rsidR="00240F93" w:rsidRPr="00BA69CA" w:rsidRDefault="00240F93" w:rsidP="00240F93">
      <w:pPr>
        <w:rPr>
          <w:rFonts w:ascii="宋体" w:eastAsia="宋体" w:hAnsi="宋体" w:cs="宋体"/>
          <w:szCs w:val="21"/>
        </w:rPr>
      </w:pPr>
    </w:p>
    <w:p w:rsidR="00240F93" w:rsidRPr="00BA69CA" w:rsidRDefault="00240F93" w:rsidP="00240F93">
      <w:pPr>
        <w:rPr>
          <w:rFonts w:ascii="宋体" w:eastAsia="宋体" w:hAnsi="宋体" w:cs="宋体"/>
          <w:szCs w:val="21"/>
        </w:rPr>
      </w:pPr>
      <w:r w:rsidRPr="00BA69CA">
        <w:rPr>
          <w:rFonts w:ascii="宋体" w:eastAsia="宋体" w:hAnsi="宋体" w:cs="宋体"/>
          <w:szCs w:val="21"/>
        </w:rPr>
        <w:t>Zhang D(1), Yang Y(1), Zhang Z(2), Zhang J(1), Wu X(3), Liang Y(4).</w:t>
      </w:r>
    </w:p>
    <w:p w:rsidR="00240F93" w:rsidRDefault="00240F93" w:rsidP="00240F93">
      <w:pPr>
        <w:rPr>
          <w:rFonts w:ascii="宋体" w:eastAsia="宋体" w:hAnsi="宋体" w:cs="宋体"/>
          <w:szCs w:val="21"/>
        </w:rPr>
      </w:pPr>
    </w:p>
    <w:p w:rsidR="00240F93" w:rsidRPr="005B69BA" w:rsidRDefault="00240F93" w:rsidP="00240F93">
      <w:pPr>
        <w:rPr>
          <w:rFonts w:ascii="宋体" w:eastAsia="宋体" w:hAnsi="宋体" w:cs="宋体"/>
          <w:b/>
          <w:color w:val="0070C0"/>
          <w:szCs w:val="21"/>
        </w:rPr>
      </w:pPr>
      <w:r w:rsidRPr="005B69BA">
        <w:rPr>
          <w:rFonts w:ascii="宋体" w:eastAsia="宋体" w:hAnsi="宋体" w:cs="宋体"/>
          <w:b/>
          <w:color w:val="0070C0"/>
          <w:szCs w:val="21"/>
        </w:rPr>
        <w:t>Danyang Zhang, Yourong Yang, Zhen Zhang, Junxian Zhang, Xueqiong Wu</w:t>
      </w:r>
      <w:r w:rsidR="00794EFE">
        <w:rPr>
          <w:rFonts w:ascii="宋体" w:eastAsia="宋体" w:hAnsi="宋体" w:cs="宋体" w:hint="eastAsia"/>
          <w:b/>
          <w:color w:val="0070C0"/>
          <w:szCs w:val="21"/>
        </w:rPr>
        <w:t>*</w:t>
      </w:r>
      <w:r w:rsidRPr="005B69BA">
        <w:rPr>
          <w:rFonts w:ascii="宋体" w:eastAsia="宋体" w:hAnsi="宋体" w:cs="宋体"/>
          <w:b/>
          <w:color w:val="0070C0"/>
          <w:szCs w:val="21"/>
        </w:rPr>
        <w:t>, Yan Liang</w:t>
      </w:r>
      <w:r w:rsidR="00794EFE">
        <w:rPr>
          <w:rFonts w:ascii="宋体" w:eastAsia="宋体" w:hAnsi="宋体" w:cs="宋体" w:hint="eastAsia"/>
          <w:b/>
          <w:color w:val="0070C0"/>
          <w:szCs w:val="21"/>
        </w:rPr>
        <w:t>*</w:t>
      </w:r>
    </w:p>
    <w:p w:rsidR="00240F93" w:rsidRPr="00794EFE" w:rsidRDefault="00794EFE" w:rsidP="00794EFE">
      <w:pPr>
        <w:jc w:val="left"/>
        <w:rPr>
          <w:rFonts w:ascii="宋体" w:eastAsia="宋体" w:hAnsi="宋体" w:cs="宋体"/>
          <w:b/>
          <w:color w:val="0070C0"/>
          <w:szCs w:val="21"/>
        </w:rPr>
      </w:pPr>
      <w:r w:rsidRPr="00794EFE">
        <w:rPr>
          <w:rFonts w:ascii="宋体" w:eastAsia="宋体" w:hAnsi="宋体" w:cs="宋体"/>
          <w:b/>
          <w:color w:val="0070C0"/>
          <w:szCs w:val="21"/>
        </w:rPr>
        <w:t>* Corresponding authors: Yan Liang (amy5919@sina.com.); Xueqiong Wu (xueqiongwu@139.com)</w:t>
      </w:r>
    </w:p>
    <w:p w:rsidR="00240F93" w:rsidRDefault="00240F93" w:rsidP="00240F93">
      <w:pPr>
        <w:rPr>
          <w:rFonts w:ascii="宋体" w:eastAsia="宋体" w:hAnsi="宋体" w:cs="宋体"/>
          <w:szCs w:val="21"/>
        </w:rPr>
      </w:pPr>
    </w:p>
    <w:p w:rsidR="00240F93" w:rsidRPr="00BA69CA" w:rsidRDefault="00240F93" w:rsidP="00240F93">
      <w:pPr>
        <w:rPr>
          <w:rFonts w:ascii="宋体" w:eastAsia="宋体" w:hAnsi="宋体" w:cs="宋体"/>
          <w:szCs w:val="21"/>
        </w:rPr>
      </w:pPr>
      <w:r w:rsidRPr="00BA69CA">
        <w:rPr>
          <w:rFonts w:ascii="宋体" w:eastAsia="宋体" w:hAnsi="宋体" w:cs="宋体"/>
          <w:szCs w:val="21"/>
        </w:rPr>
        <w:t>Author information:</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(1)Beijing Key Laboratory of New Techniques of Tuberculosis Diagnosis and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Treatment, Institute of Tuberculosis Research, Senior department of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Tuberculosis, the Eighth Medical Center of PLA General Hospital, Beijing 100091,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China.</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(2)The Third Hospital of Bazhou City, Department of Laboratory, Bazhou 065799,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Hebei, China.</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(3)Beijing Key Laboratory of New Techniques of Tuberculosis Diagnosis and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Treatment, Institute of Tuberculosis Research, Senior department of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Tuberculosis, the Eighth Medical Center of PLA General Hospital, Beijing 100091,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China. Electronic address: xueqiongwu@139.com.</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(4)Beijing Key Laboratory of New Techniques of Tuberculosis Diagnosis and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Treatment, Institute of Tuberculosis Research, Senior department of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Tuberculosis, the Eighth Medical Center of PLA General Hospital, Beijing 100091,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China. Electronic address: amy5919@sina.com.</w:t>
      </w:r>
    </w:p>
    <w:p w:rsidR="00240F93" w:rsidRPr="00BA69CA" w:rsidRDefault="00240F93" w:rsidP="00240F93">
      <w:pPr>
        <w:rPr>
          <w:rFonts w:ascii="宋体" w:eastAsia="宋体" w:hAnsi="宋体" w:cs="宋体"/>
          <w:szCs w:val="21"/>
        </w:rPr>
      </w:pPr>
    </w:p>
    <w:p w:rsidR="00240F93" w:rsidRPr="00BA69CA" w:rsidRDefault="00240F93" w:rsidP="00240F93">
      <w:pPr>
        <w:rPr>
          <w:rFonts w:ascii="宋体" w:eastAsia="宋体" w:hAnsi="宋体" w:cs="宋体"/>
          <w:szCs w:val="21"/>
        </w:rPr>
      </w:pPr>
      <w:r w:rsidRPr="00C26A1F">
        <w:rPr>
          <w:rFonts w:ascii="宋体" w:eastAsia="宋体" w:hAnsi="宋体" w:cs="宋体"/>
          <w:b/>
          <w:szCs w:val="21"/>
        </w:rPr>
        <w:lastRenderedPageBreak/>
        <w:t>BACKGROUND:</w:t>
      </w:r>
      <w:r w:rsidRPr="00BA69CA">
        <w:rPr>
          <w:rFonts w:ascii="宋体" w:eastAsia="宋体" w:hAnsi="宋体" w:cs="宋体"/>
          <w:szCs w:val="21"/>
        </w:rPr>
        <w:t xml:space="preserve"> Mycobacterium tuberculosis (MTB) Ag85A has become a component of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multiple new tuberculosis vaccines. It is necessary to evaluate the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immunogenicity, biological distribution, and safety of ag85a plasmid DNA (pDNA)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to lay the foundation for the design of new vaccines.</w:t>
      </w:r>
    </w:p>
    <w:p w:rsidR="00240F93" w:rsidRPr="00BA69CA" w:rsidRDefault="00240F93" w:rsidP="00240F93">
      <w:pPr>
        <w:rPr>
          <w:rFonts w:ascii="宋体" w:eastAsia="宋体" w:hAnsi="宋体" w:cs="宋体"/>
          <w:szCs w:val="21"/>
        </w:rPr>
      </w:pPr>
      <w:r w:rsidRPr="00C26A1F">
        <w:rPr>
          <w:rFonts w:ascii="宋体" w:eastAsia="宋体" w:hAnsi="宋体" w:cs="宋体"/>
          <w:b/>
          <w:szCs w:val="21"/>
        </w:rPr>
        <w:t xml:space="preserve">METHOD: </w:t>
      </w:r>
      <w:r w:rsidRPr="00BA69CA">
        <w:rPr>
          <w:rFonts w:ascii="宋体" w:eastAsia="宋体" w:hAnsi="宋体" w:cs="宋体"/>
          <w:szCs w:val="21"/>
        </w:rPr>
        <w:t xml:space="preserve">Chronic toxicity test: cynomolgus monkeys were injected intramuscularly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with different doses of ag85a pDNA, and the vaccine absorption kinetics, tissue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distribution, and toxicity were observed. Their immune function was evaluated.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Acute toxicity test: Mice were injected intramuscularly 0.5</w:t>
      </w:r>
      <w:r w:rsidRPr="00BA69CA">
        <w:rPr>
          <w:rFonts w:ascii="Times New Roman" w:eastAsia="宋体" w:hAnsi="Times New Roman" w:cs="Times New Roman"/>
          <w:szCs w:val="21"/>
        </w:rPr>
        <w:t> </w:t>
      </w:r>
      <w:r w:rsidRPr="00BA69CA">
        <w:rPr>
          <w:rFonts w:ascii="宋体" w:eastAsia="宋体" w:hAnsi="宋体" w:cs="宋体"/>
          <w:szCs w:val="21"/>
        </w:rPr>
        <w:t xml:space="preserve">ml saline, and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injected intramuscularly and intravenously 0.5</w:t>
      </w:r>
      <w:r w:rsidRPr="00BA69CA">
        <w:rPr>
          <w:rFonts w:ascii="Times New Roman" w:eastAsia="宋体" w:hAnsi="Times New Roman" w:cs="Times New Roman"/>
          <w:szCs w:val="21"/>
        </w:rPr>
        <w:t> </w:t>
      </w:r>
      <w:r w:rsidRPr="00BA69CA">
        <w:rPr>
          <w:rFonts w:ascii="宋体" w:eastAsia="宋体" w:hAnsi="宋体" w:cs="宋体"/>
          <w:szCs w:val="21"/>
        </w:rPr>
        <w:t>mg/0.5</w:t>
      </w:r>
      <w:r w:rsidRPr="00BA69CA">
        <w:rPr>
          <w:rFonts w:ascii="Times New Roman" w:eastAsia="宋体" w:hAnsi="Times New Roman" w:cs="Times New Roman"/>
          <w:szCs w:val="21"/>
        </w:rPr>
        <w:t> </w:t>
      </w:r>
      <w:r w:rsidRPr="00BA69CA">
        <w:rPr>
          <w:rFonts w:ascii="宋体" w:eastAsia="宋体" w:hAnsi="宋体" w:cs="宋体"/>
          <w:szCs w:val="21"/>
        </w:rPr>
        <w:t xml:space="preserve">ml ag85a pDNAs,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respectively. The toxicity and death of the mice were observed continuously for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14</w:t>
      </w:r>
      <w:r w:rsidRPr="00BA69CA">
        <w:rPr>
          <w:rFonts w:ascii="Times New Roman" w:eastAsia="宋体" w:hAnsi="Times New Roman" w:cs="Times New Roman"/>
          <w:szCs w:val="21"/>
        </w:rPr>
        <w:t> </w:t>
      </w:r>
      <w:r w:rsidRPr="00BA69CA">
        <w:rPr>
          <w:rFonts w:ascii="宋体" w:eastAsia="宋体" w:hAnsi="宋体" w:cs="宋体"/>
          <w:szCs w:val="21"/>
        </w:rPr>
        <w:t xml:space="preserve">days. Allergic test: Guinea pigs were intraperitoneally injected with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different doses of ag85a pDNA. After stimulation, the allergic reaction and its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severity were observed.</w:t>
      </w:r>
    </w:p>
    <w:p w:rsidR="00240F93" w:rsidRPr="00BA69CA" w:rsidRDefault="00240F93" w:rsidP="00240F93">
      <w:pPr>
        <w:rPr>
          <w:rFonts w:ascii="宋体" w:eastAsia="宋体" w:hAnsi="宋体" w:cs="宋体"/>
          <w:szCs w:val="21"/>
        </w:rPr>
      </w:pPr>
      <w:r w:rsidRPr="00C26A1F">
        <w:rPr>
          <w:rFonts w:ascii="宋体" w:eastAsia="宋体" w:hAnsi="宋体" w:cs="宋体"/>
          <w:b/>
          <w:szCs w:val="21"/>
        </w:rPr>
        <w:t>RESULTS:</w:t>
      </w:r>
      <w:r w:rsidRPr="00BA69CA">
        <w:rPr>
          <w:rFonts w:ascii="宋体" w:eastAsia="宋体" w:hAnsi="宋体" w:cs="宋体"/>
          <w:szCs w:val="21"/>
        </w:rPr>
        <w:t xml:space="preserve"> Chronic and acute toxicity tests demonstrated that ag85a pDNA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injections caused no clinical symptoms or tissue damage. Repeated intramuscular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injections in cynomolgus monkeys enhanced specific Th1 immune responses, with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pDNA rapidly entering the bloodstream and its concentration positively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correlating with dosage. After 8</w:t>
      </w:r>
      <w:r w:rsidRPr="00BA69CA">
        <w:rPr>
          <w:rFonts w:ascii="Times New Roman" w:eastAsia="宋体" w:hAnsi="Times New Roman" w:cs="Times New Roman"/>
          <w:szCs w:val="21"/>
        </w:rPr>
        <w:t> </w:t>
      </w:r>
      <w:r w:rsidRPr="00BA69CA">
        <w:rPr>
          <w:rFonts w:ascii="宋体" w:eastAsia="宋体" w:hAnsi="宋体" w:cs="宋体"/>
          <w:szCs w:val="21"/>
        </w:rPr>
        <w:t xml:space="preserve">weeks, ag85a gene was detected only in muscles,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myocardium, iliac lymph nodes, and blood. Guinea pig allergy tests showed no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weight changes or allergic reactions, even after multiple sensitizations.</w:t>
      </w:r>
    </w:p>
    <w:p w:rsidR="00240F93" w:rsidRPr="00BA69CA" w:rsidRDefault="00240F93" w:rsidP="00240F93">
      <w:pPr>
        <w:rPr>
          <w:rFonts w:ascii="宋体" w:eastAsia="宋体" w:hAnsi="宋体" w:cs="宋体"/>
          <w:szCs w:val="21"/>
        </w:rPr>
      </w:pPr>
      <w:r w:rsidRPr="00C26A1F">
        <w:rPr>
          <w:rFonts w:ascii="宋体" w:eastAsia="宋体" w:hAnsi="宋体" w:cs="宋体"/>
          <w:b/>
          <w:szCs w:val="21"/>
        </w:rPr>
        <w:t xml:space="preserve">CONCLUSIONS: </w:t>
      </w:r>
      <w:r w:rsidRPr="00BA69CA">
        <w:rPr>
          <w:rFonts w:ascii="宋体" w:eastAsia="宋体" w:hAnsi="宋体" w:cs="宋体"/>
          <w:szCs w:val="21"/>
        </w:rPr>
        <w:t xml:space="preserve">The ag85a pDNA showed good safety in cynomolgus monkeys, mice, and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 xml:space="preserve">guinea pigs, and induced high levels of antibodies and T-cell responses, making </w:t>
      </w:r>
    </w:p>
    <w:p w:rsidR="00240F93" w:rsidRPr="00BA69CA" w:rsidRDefault="00240F93" w:rsidP="00240F93">
      <w:pPr>
        <w:rPr>
          <w:rFonts w:ascii="宋体" w:eastAsia="宋体" w:hAnsi="宋体" w:cs="宋体"/>
          <w:szCs w:val="21"/>
        </w:rPr>
      </w:pPr>
      <w:r w:rsidRPr="00BA69CA">
        <w:rPr>
          <w:rFonts w:ascii="宋体" w:eastAsia="宋体" w:hAnsi="宋体" w:cs="宋体"/>
          <w:szCs w:val="21"/>
        </w:rPr>
        <w:t>it a candidate antigen for the construction of a new tuberculosis vaccine.</w:t>
      </w:r>
    </w:p>
    <w:p w:rsidR="00240F93" w:rsidRPr="00BA69CA" w:rsidRDefault="00240F93" w:rsidP="00240F93">
      <w:pPr>
        <w:rPr>
          <w:rFonts w:ascii="宋体" w:eastAsia="宋体" w:hAnsi="宋体" w:cs="宋体"/>
          <w:szCs w:val="21"/>
        </w:rPr>
      </w:pPr>
    </w:p>
    <w:p w:rsidR="00240F93" w:rsidRPr="00BA69CA" w:rsidRDefault="00240F93" w:rsidP="00240F93">
      <w:pPr>
        <w:rPr>
          <w:rFonts w:ascii="宋体" w:eastAsia="宋体" w:hAnsi="宋体" w:cs="宋体"/>
          <w:szCs w:val="21"/>
        </w:rPr>
      </w:pPr>
      <w:r w:rsidRPr="00BA69CA">
        <w:rPr>
          <w:rFonts w:ascii="宋体" w:eastAsia="宋体" w:hAnsi="宋体" w:cs="宋体"/>
          <w:szCs w:val="21"/>
        </w:rPr>
        <w:t>Copyright © 2025. Published by Elsevier B.V.</w:t>
      </w:r>
    </w:p>
    <w:p w:rsidR="00240F93" w:rsidRPr="00BA69CA" w:rsidRDefault="00240F93" w:rsidP="00240F93">
      <w:pPr>
        <w:rPr>
          <w:rFonts w:ascii="宋体" w:eastAsia="宋体" w:hAnsi="宋体" w:cs="宋体"/>
          <w:szCs w:val="21"/>
        </w:rPr>
      </w:pPr>
    </w:p>
    <w:p w:rsidR="00240F93" w:rsidRPr="00BA69CA" w:rsidRDefault="00240F93" w:rsidP="00240F93">
      <w:pPr>
        <w:rPr>
          <w:rFonts w:ascii="宋体" w:eastAsia="宋体" w:hAnsi="宋体" w:cs="宋体"/>
          <w:szCs w:val="21"/>
        </w:rPr>
      </w:pPr>
      <w:r w:rsidRPr="00BA69CA">
        <w:rPr>
          <w:rFonts w:ascii="宋体" w:eastAsia="宋体" w:hAnsi="宋体" w:cs="宋体"/>
          <w:szCs w:val="21"/>
        </w:rPr>
        <w:t>DOI: 10.1016/j.jim.2025.113969</w:t>
      </w:r>
    </w:p>
    <w:p w:rsidR="00240F93" w:rsidRPr="00BA69CA" w:rsidRDefault="00240F93" w:rsidP="00240F93">
      <w:pPr>
        <w:rPr>
          <w:rFonts w:ascii="宋体" w:eastAsia="宋体" w:hAnsi="宋体" w:cs="宋体"/>
          <w:szCs w:val="21"/>
        </w:rPr>
      </w:pPr>
      <w:r w:rsidRPr="00BA69CA">
        <w:rPr>
          <w:rFonts w:ascii="宋体" w:eastAsia="宋体" w:hAnsi="宋体" w:cs="宋体"/>
          <w:szCs w:val="21"/>
        </w:rPr>
        <w:t>PMID: 40885465</w:t>
      </w:r>
    </w:p>
    <w:p w:rsidR="00240F93" w:rsidRPr="00BA69CA" w:rsidRDefault="00240F93" w:rsidP="00240F93">
      <w:pPr>
        <w:rPr>
          <w:rFonts w:ascii="宋体" w:eastAsia="宋体" w:hAnsi="宋体" w:cs="宋体"/>
          <w:szCs w:val="21"/>
        </w:rPr>
      </w:pPr>
    </w:p>
    <w:p w:rsidR="00673AF7" w:rsidRPr="007D5BC8" w:rsidRDefault="00715ADB" w:rsidP="00673AF7">
      <w:pPr>
        <w:rPr>
          <w:rFonts w:ascii="宋体" w:eastAsia="宋体" w:hAnsi="宋体" w:cs="宋体"/>
          <w:b/>
          <w:color w:val="FF0000"/>
          <w:szCs w:val="21"/>
        </w:rPr>
      </w:pPr>
      <w:r>
        <w:rPr>
          <w:rFonts w:ascii="宋体" w:eastAsia="宋体" w:hAnsi="宋体" w:cs="宋体"/>
          <w:b/>
          <w:color w:val="FF0000"/>
          <w:szCs w:val="21"/>
        </w:rPr>
        <w:t>3</w:t>
      </w:r>
      <w:r w:rsidR="00673AF7" w:rsidRPr="007D5BC8">
        <w:rPr>
          <w:rFonts w:ascii="宋体" w:eastAsia="宋体" w:hAnsi="宋体" w:cs="宋体"/>
          <w:b/>
          <w:color w:val="FF0000"/>
          <w:szCs w:val="21"/>
        </w:rPr>
        <w:t>. Exp Clin Transplant. 2025 Jul;23(7):501-504. doi: 10.6002/ect.2024.0315.</w:t>
      </w:r>
    </w:p>
    <w:p w:rsidR="00673AF7" w:rsidRPr="004A4D52" w:rsidRDefault="00673AF7" w:rsidP="00673AF7">
      <w:pPr>
        <w:rPr>
          <w:rFonts w:ascii="宋体" w:eastAsia="宋体" w:hAnsi="宋体" w:cs="宋体"/>
          <w:szCs w:val="21"/>
        </w:rPr>
      </w:pPr>
    </w:p>
    <w:p w:rsidR="00673AF7" w:rsidRPr="004A4D52" w:rsidRDefault="00673AF7" w:rsidP="00673AF7">
      <w:pPr>
        <w:rPr>
          <w:rFonts w:ascii="宋体" w:eastAsia="宋体" w:hAnsi="宋体" w:cs="宋体"/>
          <w:szCs w:val="21"/>
        </w:rPr>
      </w:pPr>
      <w:r w:rsidRPr="004A4D52">
        <w:rPr>
          <w:rFonts w:ascii="宋体" w:eastAsia="宋体" w:hAnsi="宋体" w:cs="宋体"/>
          <w:szCs w:val="21"/>
        </w:rPr>
        <w:t xml:space="preserve">Can Tuberculosis Infection After Liver Transplant Induce Lung Squamous Cell </w:t>
      </w:r>
    </w:p>
    <w:p w:rsidR="00673AF7" w:rsidRPr="004A4D52" w:rsidRDefault="00673AF7" w:rsidP="00673AF7">
      <w:pPr>
        <w:rPr>
          <w:rFonts w:ascii="宋体" w:eastAsia="宋体" w:hAnsi="宋体" w:cs="宋体"/>
          <w:szCs w:val="21"/>
        </w:rPr>
      </w:pPr>
      <w:r w:rsidRPr="004A4D52">
        <w:rPr>
          <w:rFonts w:ascii="宋体" w:eastAsia="宋体" w:hAnsi="宋体" w:cs="宋体"/>
          <w:szCs w:val="21"/>
        </w:rPr>
        <w:t>Carcinoma from Squamous Metaplasia of Alveolar Epithelium?</w:t>
      </w:r>
    </w:p>
    <w:p w:rsidR="00673AF7" w:rsidRPr="004A4D52" w:rsidRDefault="00673AF7" w:rsidP="00673AF7">
      <w:pPr>
        <w:rPr>
          <w:rFonts w:ascii="宋体" w:eastAsia="宋体" w:hAnsi="宋体" w:cs="宋体"/>
          <w:szCs w:val="21"/>
        </w:rPr>
      </w:pPr>
    </w:p>
    <w:p w:rsidR="00673AF7" w:rsidRPr="004A4D52" w:rsidRDefault="00673AF7" w:rsidP="00673AF7">
      <w:pPr>
        <w:rPr>
          <w:rFonts w:ascii="宋体" w:eastAsia="宋体" w:hAnsi="宋体" w:cs="宋体"/>
          <w:szCs w:val="21"/>
        </w:rPr>
      </w:pPr>
      <w:r w:rsidRPr="004A4D52">
        <w:rPr>
          <w:rFonts w:ascii="宋体" w:eastAsia="宋体" w:hAnsi="宋体" w:cs="宋体"/>
          <w:szCs w:val="21"/>
        </w:rPr>
        <w:t>Yao J(1), Chen J, Yin H.</w:t>
      </w:r>
    </w:p>
    <w:p w:rsidR="00673AF7" w:rsidRDefault="00673AF7" w:rsidP="00673AF7">
      <w:pPr>
        <w:rPr>
          <w:rFonts w:ascii="宋体" w:eastAsia="宋体" w:hAnsi="宋体" w:cs="宋体"/>
          <w:szCs w:val="21"/>
        </w:rPr>
      </w:pPr>
    </w:p>
    <w:p w:rsidR="00673AF7" w:rsidRPr="00814E0F" w:rsidRDefault="00673AF7" w:rsidP="00673AF7">
      <w:pPr>
        <w:rPr>
          <w:rFonts w:ascii="宋体" w:eastAsia="宋体" w:hAnsi="宋体" w:cs="宋体"/>
          <w:b/>
          <w:color w:val="0070C0"/>
          <w:szCs w:val="21"/>
        </w:rPr>
      </w:pPr>
      <w:r w:rsidRPr="00814E0F">
        <w:rPr>
          <w:rFonts w:ascii="宋体" w:eastAsia="宋体" w:hAnsi="宋体" w:cs="宋体"/>
          <w:b/>
          <w:color w:val="0070C0"/>
          <w:szCs w:val="21"/>
        </w:rPr>
        <w:t>Jingjing Yao, Jianying Chen, Hongfang Yin</w:t>
      </w:r>
      <w:r w:rsidR="004A7EC9">
        <w:rPr>
          <w:rFonts w:ascii="宋体" w:eastAsia="宋体" w:hAnsi="宋体" w:cs="宋体" w:hint="eastAsia"/>
          <w:b/>
          <w:color w:val="0070C0"/>
          <w:szCs w:val="21"/>
        </w:rPr>
        <w:t>*</w:t>
      </w:r>
    </w:p>
    <w:p w:rsidR="004A7EC9" w:rsidRPr="004A7EC9" w:rsidRDefault="004A7EC9" w:rsidP="004A7EC9">
      <w:pPr>
        <w:rPr>
          <w:rFonts w:ascii="宋体" w:eastAsia="宋体" w:hAnsi="宋体" w:cs="宋体"/>
          <w:b/>
          <w:color w:val="0070C0"/>
          <w:szCs w:val="21"/>
        </w:rPr>
      </w:pPr>
      <w:r w:rsidRPr="004A7EC9">
        <w:rPr>
          <w:rFonts w:ascii="宋体" w:eastAsia="宋体" w:hAnsi="宋体" w:cs="宋体" w:hint="eastAsia"/>
          <w:b/>
          <w:color w:val="0070C0"/>
          <w:szCs w:val="21"/>
        </w:rPr>
        <w:t>*</w:t>
      </w:r>
      <w:r w:rsidRPr="004A7EC9">
        <w:rPr>
          <w:rFonts w:ascii="宋体" w:eastAsia="宋体" w:hAnsi="宋体" w:cs="宋体"/>
          <w:b/>
          <w:color w:val="0070C0"/>
          <w:szCs w:val="21"/>
        </w:rPr>
        <w:t>Corresponding author: E-mail: yhfa00530@btch.edu.cn</w:t>
      </w:r>
    </w:p>
    <w:p w:rsidR="004A7EC9" w:rsidRPr="004A7EC9" w:rsidRDefault="004A7EC9" w:rsidP="004A7EC9">
      <w:pPr>
        <w:rPr>
          <w:rFonts w:ascii="宋体" w:eastAsia="宋体" w:hAnsi="宋体" w:cs="宋体"/>
          <w:szCs w:val="21"/>
        </w:rPr>
      </w:pPr>
    </w:p>
    <w:p w:rsidR="00673AF7" w:rsidRPr="004A4D52" w:rsidRDefault="00673AF7" w:rsidP="00673AF7">
      <w:pPr>
        <w:rPr>
          <w:rFonts w:ascii="宋体" w:eastAsia="宋体" w:hAnsi="宋体" w:cs="宋体"/>
          <w:szCs w:val="21"/>
        </w:rPr>
      </w:pPr>
      <w:r w:rsidRPr="004A4D52">
        <w:rPr>
          <w:rFonts w:ascii="宋体" w:eastAsia="宋体" w:hAnsi="宋体" w:cs="宋体"/>
          <w:szCs w:val="21"/>
        </w:rPr>
        <w:t>Author information:</w:t>
      </w:r>
    </w:p>
    <w:p w:rsidR="00673AF7" w:rsidRPr="004A4D52" w:rsidRDefault="00673AF7" w:rsidP="00673AF7">
      <w:pPr>
        <w:rPr>
          <w:rFonts w:ascii="宋体" w:eastAsia="宋体" w:hAnsi="宋体" w:cs="宋体"/>
          <w:szCs w:val="21"/>
        </w:rPr>
      </w:pPr>
      <w:r w:rsidRPr="004A4D52">
        <w:rPr>
          <w:rFonts w:ascii="宋体" w:eastAsia="宋体" w:hAnsi="宋体" w:cs="宋体"/>
          <w:szCs w:val="21"/>
        </w:rPr>
        <w:t xml:space="preserve">(1)&gt;From the Department of Pathology, Beijing Tsinghua Changgung Hospital, </w:t>
      </w:r>
    </w:p>
    <w:p w:rsidR="00673AF7" w:rsidRPr="004A4D52" w:rsidRDefault="00673AF7" w:rsidP="00673AF7">
      <w:pPr>
        <w:rPr>
          <w:rFonts w:ascii="宋体" w:eastAsia="宋体" w:hAnsi="宋体" w:cs="宋体"/>
          <w:szCs w:val="21"/>
        </w:rPr>
      </w:pPr>
      <w:r w:rsidRPr="004A4D52">
        <w:rPr>
          <w:rFonts w:ascii="宋体" w:eastAsia="宋体" w:hAnsi="宋体" w:cs="宋体"/>
          <w:szCs w:val="21"/>
        </w:rPr>
        <w:t>School of Clinical Medicine, Tsinghua University. Beijing, China.</w:t>
      </w:r>
    </w:p>
    <w:p w:rsidR="00673AF7" w:rsidRPr="004A4D52" w:rsidRDefault="00673AF7" w:rsidP="00673AF7">
      <w:pPr>
        <w:rPr>
          <w:rFonts w:ascii="宋体" w:eastAsia="宋体" w:hAnsi="宋体" w:cs="宋体"/>
          <w:szCs w:val="21"/>
        </w:rPr>
      </w:pPr>
    </w:p>
    <w:p w:rsidR="00673AF7" w:rsidRPr="004A4D52" w:rsidRDefault="00673AF7" w:rsidP="00673AF7">
      <w:pPr>
        <w:rPr>
          <w:rFonts w:ascii="宋体" w:eastAsia="宋体" w:hAnsi="宋体" w:cs="宋体"/>
          <w:szCs w:val="21"/>
        </w:rPr>
      </w:pPr>
      <w:r w:rsidRPr="004A4D52">
        <w:rPr>
          <w:rFonts w:ascii="宋体" w:eastAsia="宋体" w:hAnsi="宋体" w:cs="宋体"/>
          <w:szCs w:val="21"/>
        </w:rPr>
        <w:t xml:space="preserve">This case report describes a 65-year-old male patient with hepatocellular </w:t>
      </w:r>
    </w:p>
    <w:p w:rsidR="00673AF7" w:rsidRPr="004A4D52" w:rsidRDefault="00673AF7" w:rsidP="00673AF7">
      <w:pPr>
        <w:rPr>
          <w:rFonts w:ascii="宋体" w:eastAsia="宋体" w:hAnsi="宋体" w:cs="宋体"/>
          <w:szCs w:val="21"/>
        </w:rPr>
      </w:pPr>
      <w:r w:rsidRPr="004A4D52">
        <w:rPr>
          <w:rFonts w:ascii="宋体" w:eastAsia="宋体" w:hAnsi="宋体" w:cs="宋体"/>
          <w:szCs w:val="21"/>
        </w:rPr>
        <w:lastRenderedPageBreak/>
        <w:t xml:space="preserve">carcinoma who received an orthotopic liver transplant. One month after surgery, </w:t>
      </w:r>
    </w:p>
    <w:p w:rsidR="00673AF7" w:rsidRPr="004A4D52" w:rsidRDefault="00673AF7" w:rsidP="00673AF7">
      <w:pPr>
        <w:rPr>
          <w:rFonts w:ascii="宋体" w:eastAsia="宋体" w:hAnsi="宋体" w:cs="宋体"/>
          <w:szCs w:val="21"/>
        </w:rPr>
      </w:pPr>
      <w:r w:rsidRPr="004A4D52">
        <w:rPr>
          <w:rFonts w:ascii="宋体" w:eastAsia="宋体" w:hAnsi="宋体" w:cs="宋体"/>
          <w:szCs w:val="21"/>
        </w:rPr>
        <w:t xml:space="preserve">the patient was treated for tuberculosis due to the fever. At 16 months after </w:t>
      </w:r>
    </w:p>
    <w:p w:rsidR="00673AF7" w:rsidRPr="004A4D52" w:rsidRDefault="00673AF7" w:rsidP="00673AF7">
      <w:pPr>
        <w:rPr>
          <w:rFonts w:ascii="宋体" w:eastAsia="宋体" w:hAnsi="宋体" w:cs="宋体"/>
          <w:szCs w:val="21"/>
        </w:rPr>
      </w:pPr>
      <w:r w:rsidRPr="004A4D52">
        <w:rPr>
          <w:rFonts w:ascii="宋体" w:eastAsia="宋体" w:hAnsi="宋体" w:cs="宋体"/>
          <w:szCs w:val="21"/>
        </w:rPr>
        <w:t xml:space="preserve">the operation, a chest computed tomography scan revealed a mixed ground-glass </w:t>
      </w:r>
    </w:p>
    <w:p w:rsidR="00673AF7" w:rsidRPr="004A4D52" w:rsidRDefault="00673AF7" w:rsidP="00673AF7">
      <w:pPr>
        <w:rPr>
          <w:rFonts w:ascii="宋体" w:eastAsia="宋体" w:hAnsi="宋体" w:cs="宋体"/>
          <w:szCs w:val="21"/>
        </w:rPr>
      </w:pPr>
      <w:r w:rsidRPr="004A4D52">
        <w:rPr>
          <w:rFonts w:ascii="宋体" w:eastAsia="宋体" w:hAnsi="宋体" w:cs="宋体"/>
          <w:szCs w:val="21"/>
        </w:rPr>
        <w:t xml:space="preserve">nodule at the apex of the right upper lobe, which gradually grew from 5 mm to 10 </w:t>
      </w:r>
    </w:p>
    <w:p w:rsidR="00673AF7" w:rsidRPr="004A4D52" w:rsidRDefault="00673AF7" w:rsidP="00673AF7">
      <w:pPr>
        <w:rPr>
          <w:rFonts w:ascii="宋体" w:eastAsia="宋体" w:hAnsi="宋体" w:cs="宋体"/>
          <w:szCs w:val="21"/>
        </w:rPr>
      </w:pPr>
      <w:r w:rsidRPr="004A4D52">
        <w:rPr>
          <w:rFonts w:ascii="宋体" w:eastAsia="宋体" w:hAnsi="宋体" w:cs="宋体"/>
          <w:szCs w:val="21"/>
        </w:rPr>
        <w:t xml:space="preserve">mm and then was removed via thoracoscopy. Pathology examination revealed </w:t>
      </w:r>
    </w:p>
    <w:p w:rsidR="00673AF7" w:rsidRPr="004A4D52" w:rsidRDefault="00673AF7" w:rsidP="00673AF7">
      <w:pPr>
        <w:rPr>
          <w:rFonts w:ascii="宋体" w:eastAsia="宋体" w:hAnsi="宋体" w:cs="宋体"/>
          <w:szCs w:val="21"/>
        </w:rPr>
      </w:pPr>
      <w:r w:rsidRPr="004A4D52">
        <w:rPr>
          <w:rFonts w:ascii="宋体" w:eastAsia="宋体" w:hAnsi="宋体" w:cs="宋体"/>
          <w:szCs w:val="21"/>
        </w:rPr>
        <w:t xml:space="preserve">extensive squamous metaplasia of the alveolar lumen, with focal areas of </w:t>
      </w:r>
    </w:p>
    <w:p w:rsidR="00673AF7" w:rsidRPr="004A4D52" w:rsidRDefault="00673AF7" w:rsidP="00673AF7">
      <w:pPr>
        <w:rPr>
          <w:rFonts w:ascii="宋体" w:eastAsia="宋体" w:hAnsi="宋体" w:cs="宋体"/>
          <w:szCs w:val="21"/>
        </w:rPr>
      </w:pPr>
      <w:r w:rsidRPr="004A4D52">
        <w:rPr>
          <w:rFonts w:ascii="宋体" w:eastAsia="宋体" w:hAnsi="宋体" w:cs="宋体"/>
          <w:szCs w:val="21"/>
        </w:rPr>
        <w:t xml:space="preserve">malignant transformation of the squamous epithelium into moderately </w:t>
      </w:r>
    </w:p>
    <w:p w:rsidR="00673AF7" w:rsidRPr="004A4D52" w:rsidRDefault="00673AF7" w:rsidP="00673AF7">
      <w:pPr>
        <w:rPr>
          <w:rFonts w:ascii="宋体" w:eastAsia="宋体" w:hAnsi="宋体" w:cs="宋体"/>
          <w:szCs w:val="21"/>
        </w:rPr>
      </w:pPr>
      <w:r w:rsidRPr="004A4D52">
        <w:rPr>
          <w:rFonts w:ascii="宋体" w:eastAsia="宋体" w:hAnsi="宋体" w:cs="宋体"/>
          <w:szCs w:val="21"/>
        </w:rPr>
        <w:t xml:space="preserve">differentiated squamous cell carcinoma. This study highlighted the increased </w:t>
      </w:r>
    </w:p>
    <w:p w:rsidR="00673AF7" w:rsidRPr="004A4D52" w:rsidRDefault="00673AF7" w:rsidP="00673AF7">
      <w:pPr>
        <w:rPr>
          <w:rFonts w:ascii="宋体" w:eastAsia="宋体" w:hAnsi="宋体" w:cs="宋体"/>
          <w:szCs w:val="21"/>
        </w:rPr>
      </w:pPr>
      <w:r w:rsidRPr="004A4D52">
        <w:rPr>
          <w:rFonts w:ascii="宋体" w:eastAsia="宋体" w:hAnsi="宋体" w:cs="宋体"/>
          <w:szCs w:val="21"/>
        </w:rPr>
        <w:t xml:space="preserve">risks of tuber-culosis infection and lung cancer in liver transplant recipients </w:t>
      </w:r>
    </w:p>
    <w:p w:rsidR="00673AF7" w:rsidRPr="004A4D52" w:rsidRDefault="00673AF7" w:rsidP="00673AF7">
      <w:pPr>
        <w:rPr>
          <w:rFonts w:ascii="宋体" w:eastAsia="宋体" w:hAnsi="宋体" w:cs="宋体"/>
          <w:szCs w:val="21"/>
        </w:rPr>
      </w:pPr>
      <w:r w:rsidRPr="004A4D52">
        <w:rPr>
          <w:rFonts w:ascii="宋体" w:eastAsia="宋体" w:hAnsi="宋体" w:cs="宋体"/>
          <w:szCs w:val="21"/>
        </w:rPr>
        <w:t xml:space="preserve">because of use of immunosuppressive drugs, which presented as a rare case of </w:t>
      </w:r>
    </w:p>
    <w:p w:rsidR="00673AF7" w:rsidRPr="004A4D52" w:rsidRDefault="00673AF7" w:rsidP="00673AF7">
      <w:pPr>
        <w:rPr>
          <w:rFonts w:ascii="宋体" w:eastAsia="宋体" w:hAnsi="宋体" w:cs="宋体"/>
          <w:szCs w:val="21"/>
        </w:rPr>
      </w:pPr>
      <w:r w:rsidRPr="004A4D52">
        <w:rPr>
          <w:rFonts w:ascii="宋体" w:eastAsia="宋体" w:hAnsi="宋体" w:cs="宋体"/>
          <w:szCs w:val="21"/>
        </w:rPr>
        <w:t>carcino-genesis based on alveolar epithelial squamous metaplasia.</w:t>
      </w:r>
    </w:p>
    <w:p w:rsidR="00673AF7" w:rsidRPr="004A4D52" w:rsidRDefault="00673AF7" w:rsidP="00673AF7">
      <w:pPr>
        <w:rPr>
          <w:rFonts w:ascii="宋体" w:eastAsia="宋体" w:hAnsi="宋体" w:cs="宋体"/>
          <w:szCs w:val="21"/>
        </w:rPr>
      </w:pPr>
    </w:p>
    <w:p w:rsidR="00673AF7" w:rsidRPr="004A4D52" w:rsidRDefault="00673AF7" w:rsidP="00673AF7">
      <w:pPr>
        <w:rPr>
          <w:rFonts w:ascii="宋体" w:eastAsia="宋体" w:hAnsi="宋体" w:cs="宋体"/>
          <w:szCs w:val="21"/>
        </w:rPr>
      </w:pPr>
      <w:r w:rsidRPr="004A4D52">
        <w:rPr>
          <w:rFonts w:ascii="宋体" w:eastAsia="宋体" w:hAnsi="宋体" w:cs="宋体"/>
          <w:szCs w:val="21"/>
        </w:rPr>
        <w:t>DOI: 10.6002/ect.2024.0315</w:t>
      </w:r>
    </w:p>
    <w:p w:rsidR="00673AF7" w:rsidRPr="004A4D52" w:rsidRDefault="00673AF7" w:rsidP="00673AF7">
      <w:pPr>
        <w:rPr>
          <w:rFonts w:ascii="宋体" w:eastAsia="宋体" w:hAnsi="宋体" w:cs="宋体"/>
          <w:szCs w:val="21"/>
        </w:rPr>
      </w:pPr>
      <w:r w:rsidRPr="004A4D52">
        <w:rPr>
          <w:rFonts w:ascii="宋体" w:eastAsia="宋体" w:hAnsi="宋体" w:cs="宋体"/>
          <w:szCs w:val="21"/>
        </w:rPr>
        <w:t>PMID: 40878143 [Indexed for MEDLINE]</w:t>
      </w:r>
    </w:p>
    <w:p w:rsidR="00673AF7" w:rsidRPr="004A4D52" w:rsidRDefault="00673AF7" w:rsidP="00673AF7">
      <w:pPr>
        <w:rPr>
          <w:rFonts w:ascii="宋体" w:eastAsia="宋体" w:hAnsi="宋体" w:cs="宋体"/>
          <w:szCs w:val="21"/>
        </w:rPr>
      </w:pPr>
    </w:p>
    <w:p w:rsidR="00261A00" w:rsidRPr="007D5BC8" w:rsidRDefault="00715ADB" w:rsidP="00261A00">
      <w:pPr>
        <w:rPr>
          <w:rFonts w:ascii="宋体" w:eastAsia="宋体" w:hAnsi="宋体" w:cs="宋体"/>
          <w:b/>
          <w:color w:val="FF0000"/>
          <w:szCs w:val="21"/>
        </w:rPr>
      </w:pPr>
      <w:r>
        <w:rPr>
          <w:rFonts w:ascii="宋体" w:eastAsia="宋体" w:hAnsi="宋体" w:cs="宋体"/>
          <w:b/>
          <w:color w:val="FF0000"/>
          <w:szCs w:val="21"/>
        </w:rPr>
        <w:t>4</w:t>
      </w:r>
      <w:r w:rsidR="00261A00" w:rsidRPr="007D5BC8">
        <w:rPr>
          <w:rFonts w:ascii="宋体" w:eastAsia="宋体" w:hAnsi="宋体" w:cs="宋体"/>
          <w:b/>
          <w:color w:val="FF0000"/>
          <w:szCs w:val="21"/>
        </w:rPr>
        <w:t>. Clin Chim Acta. 2025 Aug 22;578:120565. doi: 10.</w:t>
      </w:r>
      <w:r w:rsidR="00261A00">
        <w:rPr>
          <w:rFonts w:ascii="宋体" w:eastAsia="宋体" w:hAnsi="宋体" w:cs="宋体"/>
          <w:b/>
          <w:color w:val="FF0000"/>
          <w:szCs w:val="21"/>
        </w:rPr>
        <w:t xml:space="preserve">1016/j.cca.2025.120565. Online </w:t>
      </w:r>
      <w:r w:rsidR="00261A00" w:rsidRPr="007D5BC8">
        <w:rPr>
          <w:rFonts w:ascii="宋体" w:eastAsia="宋体" w:hAnsi="宋体" w:cs="宋体"/>
          <w:b/>
          <w:color w:val="FF0000"/>
          <w:szCs w:val="21"/>
        </w:rPr>
        <w:t>ahead of print.</w:t>
      </w:r>
    </w:p>
    <w:p w:rsidR="00261A00" w:rsidRPr="004A4D52" w:rsidRDefault="00261A00" w:rsidP="00261A00">
      <w:pPr>
        <w:rPr>
          <w:rFonts w:ascii="宋体" w:eastAsia="宋体" w:hAnsi="宋体" w:cs="宋体"/>
          <w:szCs w:val="21"/>
        </w:rPr>
      </w:pPr>
    </w:p>
    <w:p w:rsidR="00261A00" w:rsidRPr="004A4D52" w:rsidRDefault="00261A00" w:rsidP="00261A00">
      <w:pPr>
        <w:rPr>
          <w:rFonts w:ascii="宋体" w:eastAsia="宋体" w:hAnsi="宋体" w:cs="宋体"/>
          <w:szCs w:val="21"/>
        </w:rPr>
      </w:pPr>
      <w:r w:rsidRPr="004A4D52">
        <w:rPr>
          <w:rFonts w:ascii="宋体" w:eastAsia="宋体" w:hAnsi="宋体" w:cs="宋体"/>
          <w:szCs w:val="21"/>
        </w:rPr>
        <w:t xml:space="preserve">The diagnostic value of combined detection of GBP1, IFN-γ and IL-2 in </w:t>
      </w:r>
    </w:p>
    <w:p w:rsidR="00261A00" w:rsidRPr="004A4D52" w:rsidRDefault="00261A00" w:rsidP="00261A00">
      <w:pPr>
        <w:rPr>
          <w:rFonts w:ascii="宋体" w:eastAsia="宋体" w:hAnsi="宋体" w:cs="宋体"/>
          <w:szCs w:val="21"/>
        </w:rPr>
      </w:pPr>
      <w:r w:rsidRPr="004A4D52">
        <w:rPr>
          <w:rFonts w:ascii="宋体" w:eastAsia="宋体" w:hAnsi="宋体" w:cs="宋体"/>
          <w:szCs w:val="21"/>
        </w:rPr>
        <w:t>differentiating NTM from TB infection.</w:t>
      </w:r>
    </w:p>
    <w:p w:rsidR="00261A00" w:rsidRPr="004A4D52" w:rsidRDefault="00261A00" w:rsidP="00261A00">
      <w:pPr>
        <w:rPr>
          <w:rFonts w:ascii="宋体" w:eastAsia="宋体" w:hAnsi="宋体" w:cs="宋体"/>
          <w:szCs w:val="21"/>
        </w:rPr>
      </w:pPr>
    </w:p>
    <w:p w:rsidR="00261A00" w:rsidRPr="004A4D52" w:rsidRDefault="00261A00" w:rsidP="00261A00">
      <w:pPr>
        <w:rPr>
          <w:rFonts w:ascii="宋体" w:eastAsia="宋体" w:hAnsi="宋体" w:cs="宋体"/>
          <w:szCs w:val="21"/>
        </w:rPr>
      </w:pPr>
      <w:r w:rsidRPr="004A4D52">
        <w:rPr>
          <w:rFonts w:ascii="宋体" w:eastAsia="宋体" w:hAnsi="宋体" w:cs="宋体"/>
          <w:szCs w:val="21"/>
        </w:rPr>
        <w:t>Liu X(1), Zhang Y(2), Zheng L(3), Zhang N(4), Wang Z(4), Chen X(4), Gu B(5).</w:t>
      </w:r>
    </w:p>
    <w:p w:rsidR="00261A00" w:rsidRDefault="00261A00" w:rsidP="00261A00">
      <w:pPr>
        <w:rPr>
          <w:rFonts w:ascii="宋体" w:eastAsia="宋体" w:hAnsi="宋体" w:cs="宋体"/>
          <w:szCs w:val="21"/>
        </w:rPr>
      </w:pPr>
    </w:p>
    <w:p w:rsidR="00261A00" w:rsidRPr="004175AE" w:rsidRDefault="00261A00" w:rsidP="00261A00">
      <w:pPr>
        <w:rPr>
          <w:rFonts w:ascii="宋体" w:eastAsia="宋体" w:hAnsi="宋体" w:cs="宋体"/>
          <w:b/>
          <w:color w:val="0070C0"/>
          <w:szCs w:val="21"/>
        </w:rPr>
      </w:pPr>
      <w:r w:rsidRPr="004175AE">
        <w:rPr>
          <w:rFonts w:ascii="宋体" w:eastAsia="宋体" w:hAnsi="宋体" w:cs="宋体"/>
          <w:b/>
          <w:color w:val="0070C0"/>
          <w:szCs w:val="21"/>
        </w:rPr>
        <w:t>Xiaoxiao Liu</w:t>
      </w:r>
      <w:r w:rsidR="00F46B46">
        <w:rPr>
          <w:rFonts w:ascii="宋体" w:eastAsia="宋体" w:hAnsi="宋体" w:cs="宋体" w:hint="eastAsia"/>
          <w:b/>
          <w:color w:val="0070C0"/>
          <w:szCs w:val="21"/>
        </w:rPr>
        <w:t>*</w:t>
      </w:r>
      <w:r w:rsidRPr="004175AE">
        <w:rPr>
          <w:rFonts w:ascii="宋体" w:eastAsia="宋体" w:hAnsi="宋体" w:cs="宋体"/>
          <w:b/>
          <w:color w:val="0070C0"/>
          <w:szCs w:val="21"/>
        </w:rPr>
        <w:t>,</w:t>
      </w:r>
      <w:r>
        <w:rPr>
          <w:rFonts w:ascii="宋体" w:eastAsia="宋体" w:hAnsi="宋体" w:cs="宋体"/>
          <w:b/>
          <w:color w:val="0070C0"/>
          <w:szCs w:val="21"/>
        </w:rPr>
        <w:t xml:space="preserve"> </w:t>
      </w:r>
      <w:r w:rsidRPr="004175AE">
        <w:rPr>
          <w:rFonts w:ascii="宋体" w:eastAsia="宋体" w:hAnsi="宋体" w:cs="宋体"/>
          <w:b/>
          <w:color w:val="0070C0"/>
          <w:szCs w:val="21"/>
        </w:rPr>
        <w:t>Ye Zhang,</w:t>
      </w:r>
      <w:r>
        <w:rPr>
          <w:rFonts w:ascii="宋体" w:eastAsia="宋体" w:hAnsi="宋体" w:cs="宋体"/>
          <w:b/>
          <w:color w:val="0070C0"/>
          <w:szCs w:val="21"/>
        </w:rPr>
        <w:t xml:space="preserve"> </w:t>
      </w:r>
      <w:r w:rsidRPr="004175AE">
        <w:rPr>
          <w:rFonts w:ascii="宋体" w:eastAsia="宋体" w:hAnsi="宋体" w:cs="宋体"/>
          <w:b/>
          <w:color w:val="0070C0"/>
          <w:szCs w:val="21"/>
        </w:rPr>
        <w:t>Lan Zheng,</w:t>
      </w:r>
      <w:r>
        <w:rPr>
          <w:rFonts w:ascii="宋体" w:eastAsia="宋体" w:hAnsi="宋体" w:cs="宋体"/>
          <w:b/>
          <w:color w:val="0070C0"/>
          <w:szCs w:val="21"/>
        </w:rPr>
        <w:t xml:space="preserve"> </w:t>
      </w:r>
      <w:r w:rsidRPr="004175AE">
        <w:rPr>
          <w:rFonts w:ascii="宋体" w:eastAsia="宋体" w:hAnsi="宋体" w:cs="宋体"/>
          <w:b/>
          <w:color w:val="0070C0"/>
          <w:szCs w:val="21"/>
        </w:rPr>
        <w:t>Ni Zhang,</w:t>
      </w:r>
      <w:r>
        <w:rPr>
          <w:rFonts w:ascii="宋体" w:eastAsia="宋体" w:hAnsi="宋体" w:cs="宋体"/>
          <w:b/>
          <w:color w:val="0070C0"/>
          <w:szCs w:val="21"/>
        </w:rPr>
        <w:t xml:space="preserve"> </w:t>
      </w:r>
      <w:r w:rsidRPr="004175AE">
        <w:rPr>
          <w:rFonts w:ascii="宋体" w:eastAsia="宋体" w:hAnsi="宋体" w:cs="宋体"/>
          <w:b/>
          <w:color w:val="0070C0"/>
          <w:szCs w:val="21"/>
        </w:rPr>
        <w:t>Zixia Wang,</w:t>
      </w:r>
      <w:r>
        <w:rPr>
          <w:rFonts w:ascii="宋体" w:eastAsia="宋体" w:hAnsi="宋体" w:cs="宋体"/>
          <w:b/>
          <w:color w:val="0070C0"/>
          <w:szCs w:val="21"/>
        </w:rPr>
        <w:t xml:space="preserve"> </w:t>
      </w:r>
      <w:r w:rsidRPr="004175AE">
        <w:rPr>
          <w:rFonts w:ascii="宋体" w:eastAsia="宋体" w:hAnsi="宋体" w:cs="宋体"/>
          <w:b/>
          <w:color w:val="0070C0"/>
          <w:szCs w:val="21"/>
        </w:rPr>
        <w:t>Xiaozhong Chen,</w:t>
      </w:r>
      <w:r>
        <w:rPr>
          <w:rFonts w:ascii="宋体" w:eastAsia="宋体" w:hAnsi="宋体" w:cs="宋体"/>
          <w:b/>
          <w:color w:val="0070C0"/>
          <w:szCs w:val="21"/>
        </w:rPr>
        <w:t xml:space="preserve"> </w:t>
      </w:r>
      <w:r w:rsidRPr="004175AE">
        <w:rPr>
          <w:rFonts w:ascii="宋体" w:eastAsia="宋体" w:hAnsi="宋体" w:cs="宋体"/>
          <w:b/>
          <w:color w:val="0070C0"/>
          <w:szCs w:val="21"/>
        </w:rPr>
        <w:t>Bing Gu</w:t>
      </w:r>
      <w:r w:rsidR="00F46B46">
        <w:rPr>
          <w:rFonts w:ascii="宋体" w:eastAsia="宋体" w:hAnsi="宋体" w:cs="宋体" w:hint="eastAsia"/>
          <w:b/>
          <w:color w:val="0070C0"/>
          <w:szCs w:val="21"/>
        </w:rPr>
        <w:t>*</w:t>
      </w:r>
    </w:p>
    <w:p w:rsidR="00261A00" w:rsidRPr="00F46B46" w:rsidRDefault="00F46B46" w:rsidP="00261A00">
      <w:pPr>
        <w:rPr>
          <w:rFonts w:ascii="宋体" w:eastAsia="宋体" w:hAnsi="宋体" w:cs="宋体"/>
          <w:b/>
          <w:color w:val="0070C0"/>
          <w:szCs w:val="21"/>
        </w:rPr>
      </w:pPr>
      <w:r w:rsidRPr="00F46B46">
        <w:rPr>
          <w:rFonts w:ascii="宋体" w:eastAsia="宋体" w:hAnsi="宋体" w:cs="宋体"/>
          <w:b/>
          <w:color w:val="0070C0"/>
          <w:szCs w:val="21"/>
        </w:rPr>
        <w:t>* Corresponding authors: Xiaoxiao Liu</w:t>
      </w:r>
      <w:r>
        <w:rPr>
          <w:rFonts w:ascii="宋体" w:eastAsia="宋体" w:hAnsi="宋体" w:cs="宋体" w:hint="eastAsia"/>
          <w:b/>
          <w:color w:val="0070C0"/>
          <w:szCs w:val="21"/>
        </w:rPr>
        <w:t>，</w:t>
      </w:r>
      <w:r w:rsidRPr="00F46B46">
        <w:rPr>
          <w:rFonts w:ascii="宋体" w:eastAsia="宋体" w:hAnsi="宋体" w:cs="宋体"/>
          <w:b/>
          <w:color w:val="0070C0"/>
          <w:szCs w:val="21"/>
        </w:rPr>
        <w:t>E-mail addresses: liuxiaoxiao@gdph.org.cn</w:t>
      </w:r>
      <w:r>
        <w:rPr>
          <w:rFonts w:ascii="宋体" w:eastAsia="宋体" w:hAnsi="宋体" w:cs="宋体" w:hint="eastAsia"/>
          <w:b/>
          <w:color w:val="0070C0"/>
          <w:szCs w:val="21"/>
        </w:rPr>
        <w:t>；</w:t>
      </w:r>
      <w:r w:rsidRPr="00F46B46">
        <w:rPr>
          <w:rFonts w:ascii="宋体" w:eastAsia="宋体" w:hAnsi="宋体" w:cs="宋体"/>
          <w:b/>
          <w:color w:val="0070C0"/>
          <w:szCs w:val="21"/>
        </w:rPr>
        <w:t xml:space="preserve"> Bing Gu</w:t>
      </w:r>
      <w:r>
        <w:rPr>
          <w:rFonts w:ascii="宋体" w:eastAsia="宋体" w:hAnsi="宋体" w:cs="宋体" w:hint="eastAsia"/>
          <w:b/>
          <w:color w:val="0070C0"/>
          <w:szCs w:val="21"/>
        </w:rPr>
        <w:t>，</w:t>
      </w:r>
      <w:r w:rsidRPr="00F46B46">
        <w:rPr>
          <w:rFonts w:ascii="宋体" w:eastAsia="宋体" w:hAnsi="宋体" w:cs="宋体"/>
          <w:b/>
          <w:color w:val="0070C0"/>
          <w:szCs w:val="21"/>
        </w:rPr>
        <w:t>gubing@gdph.org.cn.</w:t>
      </w:r>
    </w:p>
    <w:p w:rsidR="00F46B46" w:rsidRPr="00BC0FFD" w:rsidRDefault="00F46B46" w:rsidP="00261A00">
      <w:pPr>
        <w:rPr>
          <w:rFonts w:ascii="宋体" w:eastAsia="宋体" w:hAnsi="宋体" w:cs="宋体"/>
          <w:szCs w:val="21"/>
        </w:rPr>
      </w:pPr>
    </w:p>
    <w:p w:rsidR="00261A00" w:rsidRPr="004A4D52" w:rsidRDefault="00261A00" w:rsidP="00261A00">
      <w:pPr>
        <w:rPr>
          <w:rFonts w:ascii="宋体" w:eastAsia="宋体" w:hAnsi="宋体" w:cs="宋体"/>
          <w:szCs w:val="21"/>
        </w:rPr>
      </w:pPr>
      <w:r w:rsidRPr="004A4D52">
        <w:rPr>
          <w:rFonts w:ascii="宋体" w:eastAsia="宋体" w:hAnsi="宋体" w:cs="宋体"/>
          <w:szCs w:val="21"/>
        </w:rPr>
        <w:t>Author information:</w:t>
      </w:r>
    </w:p>
    <w:p w:rsidR="00261A00" w:rsidRPr="004A4D52" w:rsidRDefault="00261A00" w:rsidP="00261A00">
      <w:pPr>
        <w:rPr>
          <w:rFonts w:ascii="宋体" w:eastAsia="宋体" w:hAnsi="宋体" w:cs="宋体"/>
          <w:szCs w:val="21"/>
        </w:rPr>
      </w:pPr>
      <w:r w:rsidRPr="004A4D52">
        <w:rPr>
          <w:rFonts w:ascii="宋体" w:eastAsia="宋体" w:hAnsi="宋体" w:cs="宋体"/>
          <w:szCs w:val="21"/>
        </w:rPr>
        <w:t xml:space="preserve">(1)Laboratory Medicine, Guangdong Provincial People's Hospital (Guangdong </w:t>
      </w:r>
    </w:p>
    <w:p w:rsidR="00261A00" w:rsidRPr="004A4D52" w:rsidRDefault="00261A00" w:rsidP="00261A00">
      <w:pPr>
        <w:rPr>
          <w:rFonts w:ascii="宋体" w:eastAsia="宋体" w:hAnsi="宋体" w:cs="宋体"/>
          <w:szCs w:val="21"/>
        </w:rPr>
      </w:pPr>
      <w:r w:rsidRPr="004A4D52">
        <w:rPr>
          <w:rFonts w:ascii="宋体" w:eastAsia="宋体" w:hAnsi="宋体" w:cs="宋体"/>
          <w:szCs w:val="21"/>
        </w:rPr>
        <w:t xml:space="preserve">Academy of Medical Sciences), Southern Medical University, Guangzhou 510000, PR </w:t>
      </w:r>
    </w:p>
    <w:p w:rsidR="00261A00" w:rsidRPr="004A4D52" w:rsidRDefault="00261A00" w:rsidP="00261A00">
      <w:pPr>
        <w:rPr>
          <w:rFonts w:ascii="宋体" w:eastAsia="宋体" w:hAnsi="宋体" w:cs="宋体"/>
          <w:szCs w:val="21"/>
        </w:rPr>
      </w:pPr>
      <w:r w:rsidRPr="004A4D52">
        <w:rPr>
          <w:rFonts w:ascii="宋体" w:eastAsia="宋体" w:hAnsi="宋体" w:cs="宋体"/>
          <w:szCs w:val="21"/>
        </w:rPr>
        <w:t>China. Electronic address: liuxiaoxiao@gdph.org.cn.</w:t>
      </w:r>
    </w:p>
    <w:p w:rsidR="00261A00" w:rsidRPr="004A4D52" w:rsidRDefault="00261A00" w:rsidP="00261A00">
      <w:pPr>
        <w:rPr>
          <w:rFonts w:ascii="宋体" w:eastAsia="宋体" w:hAnsi="宋体" w:cs="宋体"/>
          <w:szCs w:val="21"/>
        </w:rPr>
      </w:pPr>
      <w:r w:rsidRPr="004A4D52">
        <w:rPr>
          <w:rFonts w:ascii="宋体" w:eastAsia="宋体" w:hAnsi="宋体" w:cs="宋体"/>
          <w:szCs w:val="21"/>
        </w:rPr>
        <w:t xml:space="preserve">(2)School of Medical Technology, Xuzhou Key Laboratory of Laboratory </w:t>
      </w:r>
    </w:p>
    <w:p w:rsidR="00261A00" w:rsidRPr="004A4D52" w:rsidRDefault="00261A00" w:rsidP="00261A00">
      <w:pPr>
        <w:rPr>
          <w:rFonts w:ascii="宋体" w:eastAsia="宋体" w:hAnsi="宋体" w:cs="宋体"/>
          <w:szCs w:val="21"/>
        </w:rPr>
      </w:pPr>
      <w:r w:rsidRPr="004A4D52">
        <w:rPr>
          <w:rFonts w:ascii="宋体" w:eastAsia="宋体" w:hAnsi="宋体" w:cs="宋体"/>
          <w:szCs w:val="21"/>
        </w:rPr>
        <w:t xml:space="preserve">Diagnostics, Xuzhou Medical University, Xuzhou 221004 Jiangsu, PR China; The </w:t>
      </w:r>
    </w:p>
    <w:p w:rsidR="00261A00" w:rsidRPr="004A4D52" w:rsidRDefault="00261A00" w:rsidP="00261A00">
      <w:pPr>
        <w:rPr>
          <w:rFonts w:ascii="宋体" w:eastAsia="宋体" w:hAnsi="宋体" w:cs="宋体"/>
          <w:szCs w:val="21"/>
        </w:rPr>
      </w:pPr>
      <w:r w:rsidRPr="004A4D52">
        <w:rPr>
          <w:rFonts w:ascii="宋体" w:eastAsia="宋体" w:hAnsi="宋体" w:cs="宋体"/>
          <w:szCs w:val="21"/>
        </w:rPr>
        <w:t xml:space="preserve">Third the People's Hospital of Bengbu, Central Hospital of Bengbu, Bengbu </w:t>
      </w:r>
    </w:p>
    <w:p w:rsidR="00261A00" w:rsidRPr="004A4D52" w:rsidRDefault="00261A00" w:rsidP="00261A00">
      <w:pPr>
        <w:rPr>
          <w:rFonts w:ascii="宋体" w:eastAsia="宋体" w:hAnsi="宋体" w:cs="宋体"/>
          <w:szCs w:val="21"/>
        </w:rPr>
      </w:pPr>
      <w:r w:rsidRPr="004A4D52">
        <w:rPr>
          <w:rFonts w:ascii="宋体" w:eastAsia="宋体" w:hAnsi="宋体" w:cs="宋体"/>
          <w:szCs w:val="21"/>
        </w:rPr>
        <w:t>233000, PR China.</w:t>
      </w:r>
    </w:p>
    <w:p w:rsidR="00261A00" w:rsidRPr="004A4D52" w:rsidRDefault="00261A00" w:rsidP="00261A00">
      <w:pPr>
        <w:rPr>
          <w:rFonts w:ascii="宋体" w:eastAsia="宋体" w:hAnsi="宋体" w:cs="宋体"/>
          <w:szCs w:val="21"/>
        </w:rPr>
      </w:pPr>
      <w:r w:rsidRPr="004A4D52">
        <w:rPr>
          <w:rFonts w:ascii="宋体" w:eastAsia="宋体" w:hAnsi="宋体" w:cs="宋体"/>
          <w:szCs w:val="21"/>
        </w:rPr>
        <w:t xml:space="preserve">(3)The Third the People's Hospital of Bengbu, Central Hospital of Bengbu, Bengbu </w:t>
      </w:r>
    </w:p>
    <w:p w:rsidR="00261A00" w:rsidRPr="004A4D52" w:rsidRDefault="00261A00" w:rsidP="00261A00">
      <w:pPr>
        <w:rPr>
          <w:rFonts w:ascii="宋体" w:eastAsia="宋体" w:hAnsi="宋体" w:cs="宋体"/>
          <w:szCs w:val="21"/>
        </w:rPr>
      </w:pPr>
      <w:r w:rsidRPr="004A4D52">
        <w:rPr>
          <w:rFonts w:ascii="宋体" w:eastAsia="宋体" w:hAnsi="宋体" w:cs="宋体"/>
          <w:szCs w:val="21"/>
        </w:rPr>
        <w:t>233000, PR China.</w:t>
      </w:r>
    </w:p>
    <w:p w:rsidR="00261A00" w:rsidRPr="004A4D52" w:rsidRDefault="00261A00" w:rsidP="00261A00">
      <w:pPr>
        <w:rPr>
          <w:rFonts w:ascii="宋体" w:eastAsia="宋体" w:hAnsi="宋体" w:cs="宋体"/>
          <w:szCs w:val="21"/>
        </w:rPr>
      </w:pPr>
      <w:r w:rsidRPr="004A4D52">
        <w:rPr>
          <w:rFonts w:ascii="宋体" w:eastAsia="宋体" w:hAnsi="宋体" w:cs="宋体"/>
          <w:szCs w:val="21"/>
        </w:rPr>
        <w:t xml:space="preserve">(4)Laboratory Medicine, Guangdong Provincial People's Hospital (Guangdong </w:t>
      </w:r>
    </w:p>
    <w:p w:rsidR="00261A00" w:rsidRPr="004A4D52" w:rsidRDefault="00261A00" w:rsidP="00261A00">
      <w:pPr>
        <w:rPr>
          <w:rFonts w:ascii="宋体" w:eastAsia="宋体" w:hAnsi="宋体" w:cs="宋体"/>
          <w:szCs w:val="21"/>
        </w:rPr>
      </w:pPr>
      <w:r w:rsidRPr="004A4D52">
        <w:rPr>
          <w:rFonts w:ascii="宋体" w:eastAsia="宋体" w:hAnsi="宋体" w:cs="宋体"/>
          <w:szCs w:val="21"/>
        </w:rPr>
        <w:t xml:space="preserve">Academy of Medical Sciences), Southern Medical University, Guangzhou 510000, PR </w:t>
      </w:r>
    </w:p>
    <w:p w:rsidR="00261A00" w:rsidRPr="004A4D52" w:rsidRDefault="00261A00" w:rsidP="00261A00">
      <w:pPr>
        <w:rPr>
          <w:rFonts w:ascii="宋体" w:eastAsia="宋体" w:hAnsi="宋体" w:cs="宋体"/>
          <w:szCs w:val="21"/>
        </w:rPr>
      </w:pPr>
      <w:r w:rsidRPr="004A4D52">
        <w:rPr>
          <w:rFonts w:ascii="宋体" w:eastAsia="宋体" w:hAnsi="宋体" w:cs="宋体"/>
          <w:szCs w:val="21"/>
        </w:rPr>
        <w:t>China.</w:t>
      </w:r>
    </w:p>
    <w:p w:rsidR="00261A00" w:rsidRPr="004A4D52" w:rsidRDefault="00261A00" w:rsidP="00261A00">
      <w:pPr>
        <w:rPr>
          <w:rFonts w:ascii="宋体" w:eastAsia="宋体" w:hAnsi="宋体" w:cs="宋体"/>
          <w:szCs w:val="21"/>
        </w:rPr>
      </w:pPr>
      <w:r w:rsidRPr="004A4D52">
        <w:rPr>
          <w:rFonts w:ascii="宋体" w:eastAsia="宋体" w:hAnsi="宋体" w:cs="宋体"/>
          <w:szCs w:val="21"/>
        </w:rPr>
        <w:t xml:space="preserve">(5)Laboratory Medicine, Guangdong Provincial People's Hospital (Guangdong </w:t>
      </w:r>
    </w:p>
    <w:p w:rsidR="00261A00" w:rsidRPr="004A4D52" w:rsidRDefault="00261A00" w:rsidP="00261A00">
      <w:pPr>
        <w:rPr>
          <w:rFonts w:ascii="宋体" w:eastAsia="宋体" w:hAnsi="宋体" w:cs="宋体"/>
          <w:szCs w:val="21"/>
        </w:rPr>
      </w:pPr>
      <w:r w:rsidRPr="004A4D52">
        <w:rPr>
          <w:rFonts w:ascii="宋体" w:eastAsia="宋体" w:hAnsi="宋体" w:cs="宋体"/>
          <w:szCs w:val="21"/>
        </w:rPr>
        <w:t xml:space="preserve">Academy of Medical Sciences), Southern Medical University, Guangzhou 510000, PR </w:t>
      </w:r>
    </w:p>
    <w:p w:rsidR="00261A00" w:rsidRPr="004A4D52" w:rsidRDefault="00261A00" w:rsidP="00261A00">
      <w:pPr>
        <w:rPr>
          <w:rFonts w:ascii="宋体" w:eastAsia="宋体" w:hAnsi="宋体" w:cs="宋体"/>
          <w:szCs w:val="21"/>
        </w:rPr>
      </w:pPr>
      <w:r w:rsidRPr="004A4D52">
        <w:rPr>
          <w:rFonts w:ascii="宋体" w:eastAsia="宋体" w:hAnsi="宋体" w:cs="宋体"/>
          <w:szCs w:val="21"/>
        </w:rPr>
        <w:t xml:space="preserve">China; School of Medical Technology, Xuzhou Key Laboratory of Laboratory </w:t>
      </w:r>
    </w:p>
    <w:p w:rsidR="00261A00" w:rsidRPr="004A4D52" w:rsidRDefault="00261A00" w:rsidP="00261A00">
      <w:pPr>
        <w:rPr>
          <w:rFonts w:ascii="宋体" w:eastAsia="宋体" w:hAnsi="宋体" w:cs="宋体"/>
          <w:szCs w:val="21"/>
        </w:rPr>
      </w:pPr>
      <w:r w:rsidRPr="004A4D52">
        <w:rPr>
          <w:rFonts w:ascii="宋体" w:eastAsia="宋体" w:hAnsi="宋体" w:cs="宋体"/>
          <w:szCs w:val="21"/>
        </w:rPr>
        <w:lastRenderedPageBreak/>
        <w:t xml:space="preserve">Diagnostics, Xuzhou Medical University, Xuzhou 221004 Jiangsu, PR China. </w:t>
      </w:r>
    </w:p>
    <w:p w:rsidR="00261A00" w:rsidRPr="004A4D52" w:rsidRDefault="00261A00" w:rsidP="00261A00">
      <w:pPr>
        <w:rPr>
          <w:rFonts w:ascii="宋体" w:eastAsia="宋体" w:hAnsi="宋体" w:cs="宋体"/>
          <w:szCs w:val="21"/>
        </w:rPr>
      </w:pPr>
      <w:r w:rsidRPr="004A4D52">
        <w:rPr>
          <w:rFonts w:ascii="宋体" w:eastAsia="宋体" w:hAnsi="宋体" w:cs="宋体"/>
          <w:szCs w:val="21"/>
        </w:rPr>
        <w:t>Electronic address: gubing@gdph.org.cn.</w:t>
      </w:r>
    </w:p>
    <w:p w:rsidR="00261A00" w:rsidRPr="004A4D52" w:rsidRDefault="00261A00" w:rsidP="00261A00">
      <w:pPr>
        <w:rPr>
          <w:rFonts w:ascii="宋体" w:eastAsia="宋体" w:hAnsi="宋体" w:cs="宋体"/>
          <w:szCs w:val="21"/>
        </w:rPr>
      </w:pPr>
    </w:p>
    <w:p w:rsidR="00261A00" w:rsidRPr="004A4D52" w:rsidRDefault="00261A00" w:rsidP="00261A00">
      <w:pPr>
        <w:rPr>
          <w:rFonts w:ascii="宋体" w:eastAsia="宋体" w:hAnsi="宋体" w:cs="宋体"/>
          <w:szCs w:val="21"/>
        </w:rPr>
      </w:pPr>
      <w:r w:rsidRPr="007D5BC8">
        <w:rPr>
          <w:rFonts w:ascii="宋体" w:eastAsia="宋体" w:hAnsi="宋体" w:cs="宋体"/>
          <w:b/>
          <w:szCs w:val="21"/>
        </w:rPr>
        <w:t>BACKGROUND:</w:t>
      </w:r>
      <w:r w:rsidRPr="004A4D52">
        <w:rPr>
          <w:rFonts w:ascii="宋体" w:eastAsia="宋体" w:hAnsi="宋体" w:cs="宋体"/>
          <w:szCs w:val="21"/>
        </w:rPr>
        <w:t xml:space="preserve"> Early differentiation between Mycobacterium tuberculosis (MTB) and </w:t>
      </w:r>
    </w:p>
    <w:p w:rsidR="00261A00" w:rsidRPr="004A4D52" w:rsidRDefault="00261A00" w:rsidP="00261A00">
      <w:pPr>
        <w:rPr>
          <w:rFonts w:ascii="宋体" w:eastAsia="宋体" w:hAnsi="宋体" w:cs="宋体"/>
          <w:szCs w:val="21"/>
        </w:rPr>
      </w:pPr>
      <w:r w:rsidRPr="004A4D52">
        <w:rPr>
          <w:rFonts w:ascii="宋体" w:eastAsia="宋体" w:hAnsi="宋体" w:cs="宋体"/>
          <w:szCs w:val="21"/>
        </w:rPr>
        <w:t xml:space="preserve">non-tuberculous mycobacteria (NTM) is critical due to distinct treatment </w:t>
      </w:r>
    </w:p>
    <w:p w:rsidR="00261A00" w:rsidRPr="004A4D52" w:rsidRDefault="00261A00" w:rsidP="00261A00">
      <w:pPr>
        <w:rPr>
          <w:rFonts w:ascii="宋体" w:eastAsia="宋体" w:hAnsi="宋体" w:cs="宋体"/>
          <w:szCs w:val="21"/>
        </w:rPr>
      </w:pPr>
      <w:r w:rsidRPr="004A4D52">
        <w:rPr>
          <w:rFonts w:ascii="宋体" w:eastAsia="宋体" w:hAnsi="宋体" w:cs="宋体"/>
          <w:szCs w:val="21"/>
        </w:rPr>
        <w:t xml:space="preserve">protocols. Traditional diagnostic methods, including acid-fast staining, </w:t>
      </w:r>
    </w:p>
    <w:p w:rsidR="00261A00" w:rsidRPr="004A4D52" w:rsidRDefault="00261A00" w:rsidP="00261A00">
      <w:pPr>
        <w:rPr>
          <w:rFonts w:ascii="宋体" w:eastAsia="宋体" w:hAnsi="宋体" w:cs="宋体"/>
          <w:szCs w:val="21"/>
        </w:rPr>
      </w:pPr>
      <w:r w:rsidRPr="004A4D52">
        <w:rPr>
          <w:rFonts w:ascii="宋体" w:eastAsia="宋体" w:hAnsi="宋体" w:cs="宋体"/>
          <w:szCs w:val="21"/>
        </w:rPr>
        <w:t xml:space="preserve">bacterial culture, and nucleic acid assays, often face challenges. This study </w:t>
      </w:r>
    </w:p>
    <w:p w:rsidR="00261A00" w:rsidRPr="004A4D52" w:rsidRDefault="00261A00" w:rsidP="00261A00">
      <w:pPr>
        <w:rPr>
          <w:rFonts w:ascii="宋体" w:eastAsia="宋体" w:hAnsi="宋体" w:cs="宋体"/>
          <w:szCs w:val="21"/>
        </w:rPr>
      </w:pPr>
      <w:r w:rsidRPr="004A4D52">
        <w:rPr>
          <w:rFonts w:ascii="宋体" w:eastAsia="宋体" w:hAnsi="宋体" w:cs="宋体"/>
          <w:szCs w:val="21"/>
        </w:rPr>
        <w:t xml:space="preserve">evaluated the diagnostic value of Guanylate-Binding Protein 1 (GBP1), </w:t>
      </w:r>
    </w:p>
    <w:p w:rsidR="00261A00" w:rsidRPr="004A4D52" w:rsidRDefault="00261A00" w:rsidP="00261A00">
      <w:pPr>
        <w:rPr>
          <w:rFonts w:ascii="宋体" w:eastAsia="宋体" w:hAnsi="宋体" w:cs="宋体"/>
          <w:szCs w:val="21"/>
        </w:rPr>
      </w:pPr>
      <w:r w:rsidRPr="004A4D52">
        <w:rPr>
          <w:rFonts w:ascii="宋体" w:eastAsia="宋体" w:hAnsi="宋体" w:cs="宋体"/>
          <w:szCs w:val="21"/>
        </w:rPr>
        <w:t xml:space="preserve">interferon-gamma (IFN-γ), and interleukin-2 (IL-2) in peripheral blood for </w:t>
      </w:r>
    </w:p>
    <w:p w:rsidR="00261A00" w:rsidRPr="004A4D52" w:rsidRDefault="00261A00" w:rsidP="00261A00">
      <w:pPr>
        <w:rPr>
          <w:rFonts w:ascii="宋体" w:eastAsia="宋体" w:hAnsi="宋体" w:cs="宋体"/>
          <w:szCs w:val="21"/>
        </w:rPr>
      </w:pPr>
      <w:r w:rsidRPr="004A4D52">
        <w:rPr>
          <w:rFonts w:ascii="宋体" w:eastAsia="宋体" w:hAnsi="宋体" w:cs="宋体"/>
          <w:szCs w:val="21"/>
        </w:rPr>
        <w:t>distinguishing active TB, NTM infections, and cured TB.</w:t>
      </w:r>
    </w:p>
    <w:p w:rsidR="00261A00" w:rsidRPr="004A4D52" w:rsidRDefault="00261A00" w:rsidP="00261A00">
      <w:pPr>
        <w:rPr>
          <w:rFonts w:ascii="宋体" w:eastAsia="宋体" w:hAnsi="宋体" w:cs="宋体"/>
          <w:szCs w:val="21"/>
        </w:rPr>
      </w:pPr>
      <w:r w:rsidRPr="007D5BC8">
        <w:rPr>
          <w:rFonts w:ascii="宋体" w:eastAsia="宋体" w:hAnsi="宋体" w:cs="宋体"/>
          <w:b/>
          <w:szCs w:val="21"/>
        </w:rPr>
        <w:t>METHODS:</w:t>
      </w:r>
      <w:r w:rsidRPr="004A4D52">
        <w:rPr>
          <w:rFonts w:ascii="宋体" w:eastAsia="宋体" w:hAnsi="宋体" w:cs="宋体"/>
          <w:szCs w:val="21"/>
        </w:rPr>
        <w:t xml:space="preserve"> We recruited patients with active TB (n = 50), NTM disease (n = 46), </w:t>
      </w:r>
    </w:p>
    <w:p w:rsidR="00261A00" w:rsidRPr="004A4D52" w:rsidRDefault="00261A00" w:rsidP="00261A00">
      <w:pPr>
        <w:rPr>
          <w:rFonts w:ascii="宋体" w:eastAsia="宋体" w:hAnsi="宋体" w:cs="宋体"/>
          <w:szCs w:val="21"/>
        </w:rPr>
      </w:pPr>
      <w:r w:rsidRPr="004A4D52">
        <w:rPr>
          <w:rFonts w:ascii="宋体" w:eastAsia="宋体" w:hAnsi="宋体" w:cs="宋体"/>
          <w:szCs w:val="21"/>
        </w:rPr>
        <w:t xml:space="preserve">cured TB (n = 37), and healthy controls (HC, n = 20). GBP1 mRNA in peripheral </w:t>
      </w:r>
    </w:p>
    <w:p w:rsidR="00261A00" w:rsidRPr="004A4D52" w:rsidRDefault="00261A00" w:rsidP="00261A00">
      <w:pPr>
        <w:rPr>
          <w:rFonts w:ascii="宋体" w:eastAsia="宋体" w:hAnsi="宋体" w:cs="宋体"/>
          <w:szCs w:val="21"/>
        </w:rPr>
      </w:pPr>
      <w:r w:rsidRPr="004A4D52">
        <w:rPr>
          <w:rFonts w:ascii="宋体" w:eastAsia="宋体" w:hAnsi="宋体" w:cs="宋体"/>
          <w:szCs w:val="21"/>
        </w:rPr>
        <w:t xml:space="preserve">blood mononuclear cells was quantified by qPCR. MTB-specific IFN-γ and IL-2 </w:t>
      </w:r>
    </w:p>
    <w:p w:rsidR="00261A00" w:rsidRPr="004A4D52" w:rsidRDefault="00261A00" w:rsidP="00261A00">
      <w:pPr>
        <w:rPr>
          <w:rFonts w:ascii="宋体" w:eastAsia="宋体" w:hAnsi="宋体" w:cs="宋体"/>
          <w:szCs w:val="21"/>
        </w:rPr>
      </w:pPr>
      <w:r w:rsidRPr="004A4D52">
        <w:rPr>
          <w:rFonts w:ascii="宋体" w:eastAsia="宋体" w:hAnsi="宋体" w:cs="宋体"/>
          <w:szCs w:val="21"/>
        </w:rPr>
        <w:t>levels were measured by ELISA.</w:t>
      </w:r>
    </w:p>
    <w:p w:rsidR="00261A00" w:rsidRPr="004A4D52" w:rsidRDefault="00261A00" w:rsidP="00261A00">
      <w:pPr>
        <w:rPr>
          <w:rFonts w:ascii="宋体" w:eastAsia="宋体" w:hAnsi="宋体" w:cs="宋体"/>
          <w:szCs w:val="21"/>
        </w:rPr>
      </w:pPr>
      <w:r w:rsidRPr="007D5BC8">
        <w:rPr>
          <w:rFonts w:ascii="宋体" w:eastAsia="宋体" w:hAnsi="宋体" w:cs="宋体"/>
          <w:b/>
          <w:szCs w:val="21"/>
        </w:rPr>
        <w:t xml:space="preserve">RESULTS: </w:t>
      </w:r>
      <w:r w:rsidRPr="004A4D52">
        <w:rPr>
          <w:rFonts w:ascii="宋体" w:eastAsia="宋体" w:hAnsi="宋体" w:cs="宋体"/>
          <w:szCs w:val="21"/>
        </w:rPr>
        <w:t xml:space="preserve">The relative expression of GBP1 was significantly higher in active TB </w:t>
      </w:r>
    </w:p>
    <w:p w:rsidR="00261A00" w:rsidRPr="004A4D52" w:rsidRDefault="00261A00" w:rsidP="00261A00">
      <w:pPr>
        <w:rPr>
          <w:rFonts w:ascii="宋体" w:eastAsia="宋体" w:hAnsi="宋体" w:cs="宋体"/>
          <w:szCs w:val="21"/>
        </w:rPr>
      </w:pPr>
      <w:r w:rsidRPr="004A4D52">
        <w:rPr>
          <w:rFonts w:ascii="宋体" w:eastAsia="宋体" w:hAnsi="宋体" w:cs="宋体"/>
          <w:szCs w:val="21"/>
        </w:rPr>
        <w:t>(2.764 ± 1.774) and in NTM patients (2.099 ± 0.66</w:t>
      </w:r>
      <w:r>
        <w:rPr>
          <w:rFonts w:ascii="宋体" w:eastAsia="宋体" w:hAnsi="宋体" w:cs="宋体"/>
          <w:szCs w:val="21"/>
        </w:rPr>
        <w:t xml:space="preserve">5) compared to healthy control </w:t>
      </w:r>
      <w:r w:rsidRPr="004A4D52">
        <w:rPr>
          <w:rFonts w:ascii="宋体" w:eastAsia="宋体" w:hAnsi="宋体" w:cs="宋体"/>
          <w:szCs w:val="21"/>
        </w:rPr>
        <w:t>group (-0.001 ± 1.844; P &lt; 0.0001 and P &lt; 0.01</w:t>
      </w:r>
      <w:r>
        <w:rPr>
          <w:rFonts w:ascii="宋体" w:eastAsia="宋体" w:hAnsi="宋体" w:cs="宋体"/>
          <w:szCs w:val="21"/>
        </w:rPr>
        <w:t xml:space="preserve">, respectively). Additionally, </w:t>
      </w:r>
      <w:r w:rsidRPr="004A4D52">
        <w:rPr>
          <w:rFonts w:ascii="宋体" w:eastAsia="宋体" w:hAnsi="宋体" w:cs="宋体"/>
          <w:szCs w:val="21"/>
        </w:rPr>
        <w:t>IL-2 showed prognostic value, as levels in cur</w:t>
      </w:r>
      <w:r>
        <w:rPr>
          <w:rFonts w:ascii="宋体" w:eastAsia="宋体" w:hAnsi="宋体" w:cs="宋体"/>
          <w:szCs w:val="21"/>
        </w:rPr>
        <w:t xml:space="preserve">ed TB patients (135.7 ± 332.9) </w:t>
      </w:r>
      <w:r w:rsidRPr="004A4D52">
        <w:rPr>
          <w:rFonts w:ascii="宋体" w:eastAsia="宋体" w:hAnsi="宋体" w:cs="宋体"/>
          <w:szCs w:val="21"/>
        </w:rPr>
        <w:t>were significantly lower than in active TB patie</w:t>
      </w:r>
      <w:r>
        <w:rPr>
          <w:rFonts w:ascii="宋体" w:eastAsia="宋体" w:hAnsi="宋体" w:cs="宋体"/>
          <w:szCs w:val="21"/>
        </w:rPr>
        <w:t xml:space="preserve">nts (362.7 ± 530.7, P &lt; 0.01). </w:t>
      </w:r>
      <w:r w:rsidRPr="004A4D52">
        <w:rPr>
          <w:rFonts w:ascii="宋体" w:eastAsia="宋体" w:hAnsi="宋体" w:cs="宋体"/>
          <w:szCs w:val="21"/>
        </w:rPr>
        <w:t>For differentiating active TB from healthy control</w:t>
      </w:r>
      <w:r>
        <w:rPr>
          <w:rFonts w:ascii="宋体" w:eastAsia="宋体" w:hAnsi="宋体" w:cs="宋体"/>
          <w:szCs w:val="21"/>
        </w:rPr>
        <w:t xml:space="preserve">s, the area under the receiver </w:t>
      </w:r>
      <w:r w:rsidRPr="004A4D52">
        <w:rPr>
          <w:rFonts w:ascii="宋体" w:eastAsia="宋体" w:hAnsi="宋体" w:cs="宋体"/>
          <w:szCs w:val="21"/>
        </w:rPr>
        <w:t xml:space="preserve">operating characteristic curve (AUC) for GBP1 </w:t>
      </w:r>
      <w:r>
        <w:rPr>
          <w:rFonts w:ascii="宋体" w:eastAsia="宋体" w:hAnsi="宋体" w:cs="宋体"/>
          <w:szCs w:val="21"/>
        </w:rPr>
        <w:t xml:space="preserve">was 0.899, outperforming IFN-γ </w:t>
      </w:r>
      <w:r w:rsidRPr="004A4D52">
        <w:rPr>
          <w:rFonts w:ascii="宋体" w:eastAsia="宋体" w:hAnsi="宋体" w:cs="宋体"/>
          <w:szCs w:val="21"/>
        </w:rPr>
        <w:t>(0.846) and IL-2 (0.786). Crucially, a combined t</w:t>
      </w:r>
      <w:r>
        <w:rPr>
          <w:rFonts w:ascii="宋体" w:eastAsia="宋体" w:hAnsi="宋体" w:cs="宋体"/>
          <w:szCs w:val="21"/>
        </w:rPr>
        <w:t xml:space="preserve">hree-marker panel demonstrated </w:t>
      </w:r>
      <w:r w:rsidRPr="004A4D52">
        <w:rPr>
          <w:rFonts w:ascii="宋体" w:eastAsia="宋体" w:hAnsi="宋体" w:cs="宋体"/>
          <w:szCs w:val="21"/>
        </w:rPr>
        <w:t>superior diagnostic performance in all comparison</w:t>
      </w:r>
      <w:r>
        <w:rPr>
          <w:rFonts w:ascii="宋体" w:eastAsia="宋体" w:hAnsi="宋体" w:cs="宋体"/>
          <w:szCs w:val="21"/>
        </w:rPr>
        <w:t xml:space="preserve">s, notably achieving an AUC of </w:t>
      </w:r>
      <w:r w:rsidRPr="004A4D52">
        <w:rPr>
          <w:rFonts w:ascii="宋体" w:eastAsia="宋体" w:hAnsi="宋体" w:cs="宋体"/>
          <w:szCs w:val="21"/>
        </w:rPr>
        <w:t>0.990 for distinguishing active TB from NTM dise</w:t>
      </w:r>
      <w:r>
        <w:rPr>
          <w:rFonts w:ascii="宋体" w:eastAsia="宋体" w:hAnsi="宋体" w:cs="宋体"/>
          <w:szCs w:val="21"/>
        </w:rPr>
        <w:t xml:space="preserve">ase, significantly higher than </w:t>
      </w:r>
      <w:r w:rsidRPr="004A4D52">
        <w:rPr>
          <w:rFonts w:ascii="宋体" w:eastAsia="宋体" w:hAnsi="宋体" w:cs="宋体"/>
          <w:szCs w:val="21"/>
        </w:rPr>
        <w:t>any single marker.</w:t>
      </w:r>
    </w:p>
    <w:p w:rsidR="00261A00" w:rsidRPr="004A4D52" w:rsidRDefault="00261A00" w:rsidP="00261A00">
      <w:pPr>
        <w:rPr>
          <w:rFonts w:ascii="宋体" w:eastAsia="宋体" w:hAnsi="宋体" w:cs="宋体"/>
          <w:szCs w:val="21"/>
        </w:rPr>
      </w:pPr>
      <w:r w:rsidRPr="007D5BC8">
        <w:rPr>
          <w:rFonts w:ascii="宋体" w:eastAsia="宋体" w:hAnsi="宋体" w:cs="宋体"/>
          <w:b/>
          <w:szCs w:val="21"/>
        </w:rPr>
        <w:t>CONCLUSIONS:</w:t>
      </w:r>
      <w:r w:rsidRPr="004A4D52">
        <w:rPr>
          <w:rFonts w:ascii="宋体" w:eastAsia="宋体" w:hAnsi="宋体" w:cs="宋体"/>
          <w:szCs w:val="21"/>
        </w:rPr>
        <w:t xml:space="preserve"> GBP1 is a robust marker for identifying mycobacterial infections </w:t>
      </w:r>
    </w:p>
    <w:p w:rsidR="00261A00" w:rsidRPr="004A4D52" w:rsidRDefault="00261A00" w:rsidP="00261A00">
      <w:pPr>
        <w:rPr>
          <w:rFonts w:ascii="宋体" w:eastAsia="宋体" w:hAnsi="宋体" w:cs="宋体"/>
          <w:szCs w:val="21"/>
        </w:rPr>
      </w:pPr>
      <w:r w:rsidRPr="004A4D52">
        <w:rPr>
          <w:rFonts w:ascii="宋体" w:eastAsia="宋体" w:hAnsi="宋体" w:cs="宋体"/>
          <w:szCs w:val="21"/>
        </w:rPr>
        <w:t xml:space="preserve">(both MTB and NTM). While IL-2 shows potential for monitoring treatment </w:t>
      </w:r>
    </w:p>
    <w:p w:rsidR="00261A00" w:rsidRPr="004A4D52" w:rsidRDefault="00261A00" w:rsidP="00261A00">
      <w:pPr>
        <w:rPr>
          <w:rFonts w:ascii="宋体" w:eastAsia="宋体" w:hAnsi="宋体" w:cs="宋体"/>
          <w:szCs w:val="21"/>
        </w:rPr>
      </w:pPr>
      <w:r w:rsidRPr="004A4D52">
        <w:rPr>
          <w:rFonts w:ascii="宋体" w:eastAsia="宋体" w:hAnsi="宋体" w:cs="宋体"/>
          <w:szCs w:val="21"/>
        </w:rPr>
        <w:t xml:space="preserve">response, the combined detection of GBP1, IFN-γ, and IL-2 provides the highest </w:t>
      </w:r>
    </w:p>
    <w:p w:rsidR="00261A00" w:rsidRPr="004A4D52" w:rsidRDefault="00261A00" w:rsidP="00261A00">
      <w:pPr>
        <w:rPr>
          <w:rFonts w:ascii="宋体" w:eastAsia="宋体" w:hAnsi="宋体" w:cs="宋体"/>
          <w:szCs w:val="21"/>
        </w:rPr>
      </w:pPr>
      <w:r w:rsidRPr="004A4D52">
        <w:rPr>
          <w:rFonts w:ascii="宋体" w:eastAsia="宋体" w:hAnsi="宋体" w:cs="宋体"/>
          <w:szCs w:val="21"/>
        </w:rPr>
        <w:t xml:space="preserve">diagnostic accuracy, effectively differentiating between NTM and MTB infections. </w:t>
      </w:r>
    </w:p>
    <w:p w:rsidR="00261A00" w:rsidRPr="004A4D52" w:rsidRDefault="00261A00" w:rsidP="00261A00">
      <w:pPr>
        <w:rPr>
          <w:rFonts w:ascii="宋体" w:eastAsia="宋体" w:hAnsi="宋体" w:cs="宋体"/>
          <w:szCs w:val="21"/>
        </w:rPr>
      </w:pPr>
      <w:r w:rsidRPr="004A4D52">
        <w:rPr>
          <w:rFonts w:ascii="宋体" w:eastAsia="宋体" w:hAnsi="宋体" w:cs="宋体"/>
          <w:szCs w:val="21"/>
        </w:rPr>
        <w:t xml:space="preserve">This panel offers a promising tool for improving clinical diagnosis and patient </w:t>
      </w:r>
    </w:p>
    <w:p w:rsidR="00261A00" w:rsidRPr="004A4D52" w:rsidRDefault="00261A00" w:rsidP="00261A00">
      <w:pPr>
        <w:rPr>
          <w:rFonts w:ascii="宋体" w:eastAsia="宋体" w:hAnsi="宋体" w:cs="宋体"/>
          <w:szCs w:val="21"/>
        </w:rPr>
      </w:pPr>
      <w:r w:rsidRPr="004A4D52">
        <w:rPr>
          <w:rFonts w:ascii="宋体" w:eastAsia="宋体" w:hAnsi="宋体" w:cs="宋体"/>
          <w:szCs w:val="21"/>
        </w:rPr>
        <w:t>management.</w:t>
      </w:r>
    </w:p>
    <w:p w:rsidR="00261A00" w:rsidRPr="004A4D52" w:rsidRDefault="00261A00" w:rsidP="00261A00">
      <w:pPr>
        <w:rPr>
          <w:rFonts w:ascii="宋体" w:eastAsia="宋体" w:hAnsi="宋体" w:cs="宋体"/>
          <w:szCs w:val="21"/>
        </w:rPr>
      </w:pPr>
    </w:p>
    <w:p w:rsidR="00261A00" w:rsidRPr="004A4D52" w:rsidRDefault="00261A00" w:rsidP="00261A00">
      <w:pPr>
        <w:rPr>
          <w:rFonts w:ascii="宋体" w:eastAsia="宋体" w:hAnsi="宋体" w:cs="宋体"/>
          <w:szCs w:val="21"/>
        </w:rPr>
      </w:pPr>
      <w:r w:rsidRPr="004A4D52">
        <w:rPr>
          <w:rFonts w:ascii="宋体" w:eastAsia="宋体" w:hAnsi="宋体" w:cs="宋体"/>
          <w:szCs w:val="21"/>
        </w:rPr>
        <w:t>Copyright © 2025 Elsevier B.V. All rights reserved.</w:t>
      </w:r>
    </w:p>
    <w:p w:rsidR="00261A00" w:rsidRPr="004A4D52" w:rsidRDefault="00261A00" w:rsidP="00261A00">
      <w:pPr>
        <w:rPr>
          <w:rFonts w:ascii="宋体" w:eastAsia="宋体" w:hAnsi="宋体" w:cs="宋体"/>
          <w:szCs w:val="21"/>
        </w:rPr>
      </w:pPr>
    </w:p>
    <w:p w:rsidR="00261A00" w:rsidRPr="004A4D52" w:rsidRDefault="00261A00" w:rsidP="00261A00">
      <w:pPr>
        <w:rPr>
          <w:rFonts w:ascii="宋体" w:eastAsia="宋体" w:hAnsi="宋体" w:cs="宋体"/>
          <w:szCs w:val="21"/>
        </w:rPr>
      </w:pPr>
      <w:r w:rsidRPr="004A4D52">
        <w:rPr>
          <w:rFonts w:ascii="宋体" w:eastAsia="宋体" w:hAnsi="宋体" w:cs="宋体"/>
          <w:szCs w:val="21"/>
        </w:rPr>
        <w:t>DOI: 10.1016/j.cca.2025.120565</w:t>
      </w:r>
    </w:p>
    <w:p w:rsidR="00261A00" w:rsidRPr="004A4D52" w:rsidRDefault="00261A00" w:rsidP="00261A00">
      <w:pPr>
        <w:rPr>
          <w:rFonts w:ascii="宋体" w:eastAsia="宋体" w:hAnsi="宋体" w:cs="宋体"/>
          <w:szCs w:val="21"/>
        </w:rPr>
      </w:pPr>
      <w:r w:rsidRPr="004A4D52">
        <w:rPr>
          <w:rFonts w:ascii="宋体" w:eastAsia="宋体" w:hAnsi="宋体" w:cs="宋体"/>
          <w:szCs w:val="21"/>
        </w:rPr>
        <w:t>PMID: 40850648</w:t>
      </w:r>
    </w:p>
    <w:p w:rsidR="00261A00" w:rsidRDefault="00261A00" w:rsidP="00261A00">
      <w:pPr>
        <w:rPr>
          <w:rFonts w:ascii="宋体" w:eastAsia="宋体" w:hAnsi="宋体" w:cs="宋体"/>
          <w:szCs w:val="21"/>
        </w:rPr>
      </w:pPr>
    </w:p>
    <w:p w:rsidR="004B2F17" w:rsidRPr="009736A5" w:rsidRDefault="007844B7" w:rsidP="004B2F17">
      <w:pPr>
        <w:rPr>
          <w:rFonts w:ascii="宋体" w:eastAsia="宋体" w:hAnsi="宋体" w:cs="宋体"/>
          <w:b/>
          <w:color w:val="FF0000"/>
          <w:szCs w:val="21"/>
        </w:rPr>
      </w:pPr>
      <w:r>
        <w:rPr>
          <w:rFonts w:ascii="宋体" w:eastAsia="宋体" w:hAnsi="宋体" w:cs="宋体"/>
          <w:b/>
          <w:color w:val="FF0000"/>
          <w:szCs w:val="21"/>
        </w:rPr>
        <w:t>5</w:t>
      </w:r>
      <w:r w:rsidR="004B2F17" w:rsidRPr="009736A5">
        <w:rPr>
          <w:rFonts w:ascii="宋体" w:eastAsia="宋体" w:hAnsi="宋体" w:cs="宋体"/>
          <w:b/>
          <w:color w:val="FF0000"/>
          <w:szCs w:val="21"/>
        </w:rPr>
        <w:t xml:space="preserve">. J Med Chem. 2025 Sep 6. doi: 10.1021/acs.jmedchem.5c01856. Online ahead of </w:t>
      </w:r>
    </w:p>
    <w:p w:rsidR="004B2F17" w:rsidRPr="009736A5" w:rsidRDefault="004B2F17" w:rsidP="004B2F17">
      <w:pPr>
        <w:rPr>
          <w:rFonts w:ascii="宋体" w:eastAsia="宋体" w:hAnsi="宋体" w:cs="宋体"/>
          <w:b/>
          <w:color w:val="FF0000"/>
          <w:szCs w:val="21"/>
        </w:rPr>
      </w:pPr>
      <w:r w:rsidRPr="009736A5">
        <w:rPr>
          <w:rFonts w:ascii="宋体" w:eastAsia="宋体" w:hAnsi="宋体" w:cs="宋体"/>
          <w:b/>
          <w:color w:val="FF0000"/>
          <w:szCs w:val="21"/>
        </w:rPr>
        <w:t>print.</w:t>
      </w:r>
    </w:p>
    <w:p w:rsidR="004B2F17" w:rsidRPr="004B2F17" w:rsidRDefault="004B2F17"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Synthesis and Biological Evaluation of Platensimycin Analogues with Improved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Antimycobacterial Activity.</w:t>
      </w:r>
    </w:p>
    <w:p w:rsidR="004B2F17" w:rsidRPr="004B2F17" w:rsidRDefault="004B2F17"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Liang G(1), Bai E(1), Zhuang Z(1), Yang J(1), Li Y(1), Deng Y(1), Duan </w:t>
      </w:r>
    </w:p>
    <w:p w:rsidR="004B2F17" w:rsidRPr="004B2F17" w:rsidRDefault="004B2F17" w:rsidP="004B2F17">
      <w:pPr>
        <w:rPr>
          <w:rFonts w:ascii="宋体" w:eastAsia="宋体" w:hAnsi="宋体" w:cs="宋体"/>
          <w:szCs w:val="21"/>
        </w:rPr>
      </w:pPr>
      <w:r w:rsidRPr="004B2F17">
        <w:rPr>
          <w:rFonts w:ascii="宋体" w:eastAsia="宋体" w:hAnsi="宋体" w:cs="宋体"/>
          <w:szCs w:val="21"/>
        </w:rPr>
        <w:lastRenderedPageBreak/>
        <w:t>Y(1)(2)(3), Huang Y(1)(4).</w:t>
      </w:r>
    </w:p>
    <w:p w:rsidR="004B2F17" w:rsidRDefault="004B2F17" w:rsidP="004B2F17">
      <w:pPr>
        <w:rPr>
          <w:rFonts w:ascii="宋体" w:eastAsia="宋体" w:hAnsi="宋体" w:cs="宋体"/>
          <w:szCs w:val="21"/>
        </w:rPr>
      </w:pPr>
    </w:p>
    <w:p w:rsidR="00B707A4" w:rsidRPr="00B707A4" w:rsidRDefault="00B707A4" w:rsidP="004B2F17">
      <w:pPr>
        <w:rPr>
          <w:rFonts w:ascii="宋体" w:eastAsia="宋体" w:hAnsi="宋体" w:cs="宋体"/>
          <w:b/>
          <w:color w:val="0070C0"/>
          <w:szCs w:val="21"/>
        </w:rPr>
      </w:pPr>
      <w:r w:rsidRPr="00B707A4">
        <w:rPr>
          <w:rFonts w:ascii="宋体" w:eastAsia="宋体" w:hAnsi="宋体" w:cs="宋体"/>
          <w:b/>
          <w:color w:val="0070C0"/>
          <w:szCs w:val="21"/>
        </w:rPr>
        <w:t>Guibin Liang, Enhe Bai, Zhoukang Zhuang, Jie Yang, Yu Li, Youchao Deng, Yanwen Duan</w:t>
      </w:r>
      <w:r w:rsidRPr="00B707A4">
        <w:rPr>
          <w:rFonts w:ascii="宋体" w:eastAsia="宋体" w:hAnsi="宋体" w:cs="宋体" w:hint="eastAsia"/>
          <w:b/>
          <w:color w:val="0070C0"/>
          <w:szCs w:val="21"/>
        </w:rPr>
        <w:t>*</w:t>
      </w:r>
      <w:r w:rsidRPr="00B707A4">
        <w:rPr>
          <w:rFonts w:ascii="宋体" w:eastAsia="宋体" w:hAnsi="宋体" w:cs="宋体"/>
          <w:b/>
          <w:color w:val="0070C0"/>
          <w:szCs w:val="21"/>
        </w:rPr>
        <w:t>, Yong Huang</w:t>
      </w:r>
      <w:r w:rsidRPr="00B707A4">
        <w:rPr>
          <w:rFonts w:ascii="宋体" w:eastAsia="宋体" w:hAnsi="宋体" w:cs="宋体" w:hint="eastAsia"/>
          <w:b/>
          <w:color w:val="0070C0"/>
          <w:szCs w:val="21"/>
        </w:rPr>
        <w:t>*</w:t>
      </w:r>
    </w:p>
    <w:p w:rsidR="00B707A4" w:rsidRPr="00B707A4" w:rsidRDefault="00B707A4" w:rsidP="00B707A4">
      <w:pPr>
        <w:jc w:val="left"/>
        <w:rPr>
          <w:rFonts w:ascii="宋体" w:eastAsia="宋体" w:hAnsi="宋体" w:cs="宋体"/>
          <w:b/>
          <w:color w:val="0070C0"/>
          <w:szCs w:val="21"/>
        </w:rPr>
      </w:pPr>
      <w:r w:rsidRPr="00B707A4">
        <w:rPr>
          <w:rFonts w:ascii="宋体" w:eastAsia="宋体" w:hAnsi="宋体" w:cs="宋体" w:hint="eastAsia"/>
          <w:b/>
          <w:color w:val="0070C0"/>
          <w:szCs w:val="21"/>
        </w:rPr>
        <w:t>*</w:t>
      </w:r>
      <w:r w:rsidRPr="00B707A4">
        <w:rPr>
          <w:rFonts w:ascii="宋体" w:eastAsia="宋体" w:hAnsi="宋体" w:cs="宋体"/>
          <w:b/>
          <w:color w:val="0070C0"/>
          <w:szCs w:val="21"/>
        </w:rPr>
        <w:t xml:space="preserve"> Yanwen Duan</w:t>
      </w:r>
      <w:r w:rsidRPr="00B707A4">
        <w:rPr>
          <w:rFonts w:ascii="宋体" w:eastAsia="宋体" w:hAnsi="宋体" w:cs="宋体" w:hint="eastAsia"/>
          <w:b/>
          <w:color w:val="0070C0"/>
          <w:szCs w:val="21"/>
        </w:rPr>
        <w:t>，</w:t>
      </w:r>
      <w:r w:rsidRPr="00B707A4">
        <w:rPr>
          <w:rFonts w:ascii="宋体" w:eastAsia="宋体" w:hAnsi="宋体" w:cs="宋体"/>
          <w:b/>
          <w:color w:val="0070C0"/>
          <w:szCs w:val="21"/>
        </w:rPr>
        <w:t>E-mai</w:t>
      </w:r>
      <w:r>
        <w:rPr>
          <w:rFonts w:ascii="宋体" w:eastAsia="宋体" w:hAnsi="宋体" w:cs="宋体"/>
          <w:b/>
          <w:color w:val="0070C0"/>
          <w:szCs w:val="21"/>
        </w:rPr>
        <w:t xml:space="preserve">l: </w:t>
      </w:r>
      <w:hyperlink r:id="rId8" w:history="1">
        <w:r w:rsidRPr="00B707A4">
          <w:rPr>
            <w:rStyle w:val="a6"/>
            <w:rFonts w:ascii="宋体" w:eastAsia="宋体" w:hAnsi="宋体" w:cs="宋体"/>
            <w:b/>
            <w:color w:val="0070C0"/>
            <w:szCs w:val="21"/>
            <w:u w:val="none"/>
          </w:rPr>
          <w:t>ywduan66@sina.com</w:t>
        </w:r>
      </w:hyperlink>
      <w:r w:rsidRPr="00B707A4">
        <w:rPr>
          <w:rFonts w:ascii="宋体" w:eastAsia="宋体" w:hAnsi="宋体" w:cs="宋体" w:hint="eastAsia"/>
          <w:b/>
          <w:color w:val="0070C0"/>
          <w:szCs w:val="21"/>
        </w:rPr>
        <w:t xml:space="preserve"> ；</w:t>
      </w:r>
      <w:r w:rsidRPr="00B707A4">
        <w:rPr>
          <w:rFonts w:ascii="宋体" w:eastAsia="宋体" w:hAnsi="宋体" w:cs="宋体"/>
          <w:b/>
          <w:color w:val="0070C0"/>
          <w:szCs w:val="21"/>
        </w:rPr>
        <w:t>Yong Huang</w:t>
      </w:r>
      <w:r w:rsidRPr="00B707A4">
        <w:rPr>
          <w:rFonts w:ascii="宋体" w:eastAsia="宋体" w:hAnsi="宋体" w:cs="宋体" w:hint="eastAsia"/>
          <w:b/>
          <w:color w:val="0070C0"/>
          <w:szCs w:val="21"/>
        </w:rPr>
        <w:t>，</w:t>
      </w:r>
      <w:r>
        <w:rPr>
          <w:rFonts w:ascii="宋体" w:eastAsia="宋体" w:hAnsi="宋体" w:cs="宋体"/>
          <w:b/>
          <w:color w:val="0070C0"/>
          <w:szCs w:val="21"/>
        </w:rPr>
        <w:t xml:space="preserve">E-mail: </w:t>
      </w:r>
      <w:hyperlink r:id="rId9" w:history="1">
        <w:r w:rsidRPr="00B707A4">
          <w:rPr>
            <w:rStyle w:val="a6"/>
            <w:rFonts w:ascii="宋体" w:eastAsia="宋体" w:hAnsi="宋体" w:cs="宋体"/>
            <w:b/>
            <w:color w:val="0070C0"/>
            <w:szCs w:val="21"/>
            <w:u w:val="none"/>
          </w:rPr>
          <w:t>jonghuang@ihm.ac.cn</w:t>
        </w:r>
      </w:hyperlink>
    </w:p>
    <w:p w:rsidR="00B707A4" w:rsidRPr="004B2F17" w:rsidRDefault="00B707A4" w:rsidP="00B707A4">
      <w:pPr>
        <w:jc w:val="left"/>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szCs w:val="21"/>
        </w:rPr>
        <w:t>Author information:</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(1)Xiangya International Academy of Translational Medicine, Central South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University, Changsha, Hunan 410013, China.</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(2)Hunan Engineering Research Center of Combinatorial Biosynthesis and Natural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Product Drug Discovery, Changsha, Hunan 410011, China.</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(3)National Engineering Research Center of Combinatorial Biosynthesis for Drug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Discovery, Changsha 410011, China.</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(4)Hefei Comprehensive National Science Center, Institute of Health and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Medicine, Hefei 230093, China.</w:t>
      </w:r>
    </w:p>
    <w:p w:rsidR="004B2F17" w:rsidRPr="004B2F17" w:rsidRDefault="004B2F17"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KasA and KasB are promising drug targets against Mycobacterium tuberculosis and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infectious nontuberculous mycobacteria, while most lead compounds are in the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preclinical development stage. Herein, a platensimycin (PTM) analogue library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consisting of 340 members was first screened to identify 46 PTM thioethers with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superior activity compared to that of PTM against Mycobacterium smegmatis. Next,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19 PTM thioethers were chosen and semisynthesized from PTM oxirane (7), together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with seven PTM ether derivatives and 6-ido, 6-bromo-, and 6-thiocyanato PTM.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Most of them showed stronger antimycobacterial activity than PTM. In particular,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one thioether Ec42 exhibited superior antimycobacterial activity to INH in M.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smegmatis-infected mouse model. Molecular docking analysis revealed that Ec42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may bind to the active sites of KasA and KasB. Our study revealed that these PTM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derivatives significantly expand dual inhibitors for KasA and KasB, and suggest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that late-stage functionalization of natural antibiotics targeting mycolic acid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biosynthesis remains fruitful for antimycobacterial drug discovery.</w:t>
      </w:r>
    </w:p>
    <w:p w:rsidR="004B2F17" w:rsidRPr="004B2F17" w:rsidRDefault="004B2F17"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szCs w:val="21"/>
        </w:rPr>
        <w:t>DOI: 10.1021/acs.jmedchem.5c01856</w:t>
      </w:r>
    </w:p>
    <w:p w:rsidR="004B2F17" w:rsidRPr="004B2F17" w:rsidRDefault="004B2F17" w:rsidP="004B2F17">
      <w:pPr>
        <w:rPr>
          <w:rFonts w:ascii="宋体" w:eastAsia="宋体" w:hAnsi="宋体" w:cs="宋体"/>
          <w:szCs w:val="21"/>
        </w:rPr>
      </w:pPr>
      <w:r w:rsidRPr="004B2F17">
        <w:rPr>
          <w:rFonts w:ascii="宋体" w:eastAsia="宋体" w:hAnsi="宋体" w:cs="宋体"/>
          <w:szCs w:val="21"/>
        </w:rPr>
        <w:t>PMID: 40913570</w:t>
      </w:r>
    </w:p>
    <w:p w:rsidR="004B2F17" w:rsidRPr="004B2F17" w:rsidRDefault="004B2F17" w:rsidP="004B2F17">
      <w:pPr>
        <w:rPr>
          <w:rFonts w:ascii="宋体" w:eastAsia="宋体" w:hAnsi="宋体" w:cs="宋体"/>
          <w:szCs w:val="21"/>
        </w:rPr>
      </w:pPr>
    </w:p>
    <w:p w:rsidR="004B2F17" w:rsidRPr="009736A5" w:rsidRDefault="007844B7" w:rsidP="004B2F17">
      <w:pPr>
        <w:rPr>
          <w:rFonts w:ascii="宋体" w:eastAsia="宋体" w:hAnsi="宋体" w:cs="宋体"/>
          <w:b/>
          <w:color w:val="FF0000"/>
          <w:szCs w:val="21"/>
        </w:rPr>
      </w:pPr>
      <w:r>
        <w:rPr>
          <w:rFonts w:ascii="宋体" w:eastAsia="宋体" w:hAnsi="宋体" w:cs="宋体"/>
          <w:b/>
          <w:color w:val="FF0000"/>
          <w:szCs w:val="21"/>
        </w:rPr>
        <w:t>6</w:t>
      </w:r>
      <w:r w:rsidR="004B2F17" w:rsidRPr="009736A5">
        <w:rPr>
          <w:rFonts w:ascii="宋体" w:eastAsia="宋体" w:hAnsi="宋体" w:cs="宋体"/>
          <w:b/>
          <w:color w:val="FF0000"/>
          <w:szCs w:val="21"/>
        </w:rPr>
        <w:t xml:space="preserve">. J Antimicrob Chemother. 2025 Sep 4:dkaf321. doi: 10.1093/jac/dkaf321. Online </w:t>
      </w:r>
    </w:p>
    <w:p w:rsidR="004B2F17" w:rsidRPr="009736A5" w:rsidRDefault="004B2F17" w:rsidP="004B2F17">
      <w:pPr>
        <w:rPr>
          <w:rFonts w:ascii="宋体" w:eastAsia="宋体" w:hAnsi="宋体" w:cs="宋体"/>
          <w:b/>
          <w:color w:val="FF0000"/>
          <w:szCs w:val="21"/>
        </w:rPr>
      </w:pPr>
      <w:r w:rsidRPr="009736A5">
        <w:rPr>
          <w:rFonts w:ascii="宋体" w:eastAsia="宋体" w:hAnsi="宋体" w:cs="宋体"/>
          <w:b/>
          <w:color w:val="FF0000"/>
          <w:szCs w:val="21"/>
        </w:rPr>
        <w:t>ahead of print.</w:t>
      </w:r>
    </w:p>
    <w:p w:rsidR="004B2F17" w:rsidRPr="004B2F17" w:rsidRDefault="004B2F17"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Novel mutations associated with clofazimine resistance in Mycobacterium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intracellulare.</w:t>
      </w:r>
    </w:p>
    <w:p w:rsidR="004B2F17" w:rsidRPr="004B2F17" w:rsidRDefault="004B2F17"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Jiang X(1)(2), Cao D(1)(2), Qiu Y(1)(2), Dong X(1)(2), Xu P(1)(2), Li Y(1)(2),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Yuan X(1)(2), Xiang Y(1)(2), Xu K(1)(2), Zhang Y(1)(2)(3).</w:t>
      </w:r>
    </w:p>
    <w:p w:rsidR="004B2F17" w:rsidRDefault="004B2F17" w:rsidP="004B2F17">
      <w:pPr>
        <w:rPr>
          <w:rFonts w:ascii="宋体" w:eastAsia="宋体" w:hAnsi="宋体" w:cs="宋体"/>
          <w:szCs w:val="21"/>
        </w:rPr>
      </w:pPr>
    </w:p>
    <w:p w:rsidR="000F091F" w:rsidRPr="000F091F" w:rsidRDefault="000F091F" w:rsidP="004B2F17">
      <w:pPr>
        <w:rPr>
          <w:rFonts w:ascii="宋体" w:eastAsia="宋体" w:hAnsi="宋体" w:cs="宋体"/>
          <w:b/>
          <w:color w:val="0070C0"/>
          <w:szCs w:val="21"/>
        </w:rPr>
      </w:pPr>
      <w:r w:rsidRPr="000F091F">
        <w:rPr>
          <w:rFonts w:ascii="宋体" w:eastAsia="宋体" w:hAnsi="宋体" w:cs="宋体"/>
          <w:b/>
          <w:color w:val="0070C0"/>
          <w:szCs w:val="21"/>
        </w:rPr>
        <w:lastRenderedPageBreak/>
        <w:t>Xiuzhi Jiang, Dan Cao, Yuwei Qiu, Xu Dong, Pusheng Xu, Yi Li, Xin Yuan, Yanghui Xiang, Kaijin Xu, Ying Zhang</w:t>
      </w:r>
      <w:r w:rsidRPr="000F091F">
        <w:rPr>
          <w:rFonts w:ascii="宋体" w:eastAsia="宋体" w:hAnsi="宋体" w:cs="宋体" w:hint="eastAsia"/>
          <w:b/>
          <w:color w:val="0070C0"/>
          <w:szCs w:val="21"/>
        </w:rPr>
        <w:t>*</w:t>
      </w:r>
    </w:p>
    <w:p w:rsidR="000F091F" w:rsidRPr="000F091F" w:rsidRDefault="000F091F" w:rsidP="004B2F17">
      <w:pPr>
        <w:rPr>
          <w:rFonts w:ascii="宋体" w:eastAsia="宋体" w:hAnsi="宋体" w:cs="宋体"/>
          <w:b/>
          <w:color w:val="0070C0"/>
          <w:szCs w:val="21"/>
        </w:rPr>
      </w:pPr>
      <w:r w:rsidRPr="000F091F">
        <w:rPr>
          <w:rFonts w:ascii="宋体" w:eastAsia="宋体" w:hAnsi="宋体" w:cs="宋体"/>
          <w:b/>
          <w:color w:val="0070C0"/>
          <w:szCs w:val="21"/>
        </w:rPr>
        <w:t>*Corresponding author. E-mail: yzhang207@zju.edu.cn</w:t>
      </w:r>
    </w:p>
    <w:p w:rsidR="000F091F" w:rsidRPr="004B2F17" w:rsidRDefault="000F091F"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szCs w:val="21"/>
        </w:rPr>
        <w:t>Author information:</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(1)State Key Laboratory for Diagnosis and Treatment of Infectious Diseases,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National Clinical Research Center for Infectious Diseases, China-Singapore Belt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and Road Joint Laboratory on Infection Research and Drug Development, National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Medical Center for Infectious Diseases, Collaborative Innovation Center for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Diagnosis and Treatment of Infectious Diseases, The First Affiliated Hospital,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Zhejiang University School of Medicine, Hangzhou, Zhejiang 310003, China.</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(2)Yuhang Institute for Collaborative Innovation and Translational Research in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Life Sciences and Technology, Zhejiang University School of Medicine, Hangzhou,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Zhejiang 310003, China.</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(3)Jinan Microecological Biomedicine Shandong Laboratory, Shandong First Medical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University School of Medicine, Jinan 250117, China.</w:t>
      </w:r>
    </w:p>
    <w:p w:rsidR="004B2F17" w:rsidRPr="004B2F17" w:rsidRDefault="004B2F17"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9736A5">
        <w:rPr>
          <w:rFonts w:ascii="宋体" w:eastAsia="宋体" w:hAnsi="宋体" w:cs="宋体"/>
          <w:b/>
          <w:szCs w:val="21"/>
        </w:rPr>
        <w:t>BACKGROUND</w:t>
      </w:r>
      <w:r w:rsidRPr="004B2F17">
        <w:rPr>
          <w:rFonts w:ascii="宋体" w:eastAsia="宋体" w:hAnsi="宋体" w:cs="宋体"/>
          <w:szCs w:val="21"/>
        </w:rPr>
        <w:t xml:space="preserve">: Clofazimine is a promising repurposed drug for treating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Mycobacterium avium-intracellulare complex pulmonary disease, but its resistance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mechanisms in Mycobacterium intracellulare remain poorly understood.</w:t>
      </w:r>
    </w:p>
    <w:p w:rsidR="004B2F17" w:rsidRPr="004B2F17" w:rsidRDefault="004B2F17" w:rsidP="004B2F17">
      <w:pPr>
        <w:rPr>
          <w:rFonts w:ascii="宋体" w:eastAsia="宋体" w:hAnsi="宋体" w:cs="宋体"/>
          <w:szCs w:val="21"/>
        </w:rPr>
      </w:pPr>
      <w:r w:rsidRPr="009736A5">
        <w:rPr>
          <w:rFonts w:ascii="宋体" w:eastAsia="宋体" w:hAnsi="宋体" w:cs="宋体"/>
          <w:b/>
          <w:szCs w:val="21"/>
        </w:rPr>
        <w:t xml:space="preserve">OBJECTIVE: </w:t>
      </w:r>
      <w:r w:rsidRPr="004B2F17">
        <w:rPr>
          <w:rFonts w:ascii="宋体" w:eastAsia="宋体" w:hAnsi="宋体" w:cs="宋体"/>
          <w:szCs w:val="21"/>
        </w:rPr>
        <w:t xml:space="preserve">This study aims to elucidate the resistance mechanisms of M.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intracellulare to clofazimine.</w:t>
      </w:r>
    </w:p>
    <w:p w:rsidR="004B2F17" w:rsidRPr="004B2F17" w:rsidRDefault="004B2F17" w:rsidP="004B2F17">
      <w:pPr>
        <w:rPr>
          <w:rFonts w:ascii="宋体" w:eastAsia="宋体" w:hAnsi="宋体" w:cs="宋体"/>
          <w:szCs w:val="21"/>
        </w:rPr>
      </w:pPr>
      <w:r w:rsidRPr="009736A5">
        <w:rPr>
          <w:rFonts w:ascii="宋体" w:eastAsia="宋体" w:hAnsi="宋体" w:cs="宋体"/>
          <w:b/>
          <w:szCs w:val="21"/>
        </w:rPr>
        <w:t xml:space="preserve">METHODS: </w:t>
      </w:r>
      <w:r w:rsidRPr="004B2F17">
        <w:rPr>
          <w:rFonts w:ascii="宋体" w:eastAsia="宋体" w:hAnsi="宋体" w:cs="宋体"/>
          <w:szCs w:val="21"/>
        </w:rPr>
        <w:t xml:space="preserve">We isolated 36 clofazimine-resistant M. intracellulare mutants in vitro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and performed whole-genome sequencing to identify resistance-associated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mutations. Gene complementation was used to validate the role of the identified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mutations.</w:t>
      </w:r>
    </w:p>
    <w:p w:rsidR="004B2F17" w:rsidRPr="004B2F17" w:rsidRDefault="004B2F17" w:rsidP="004B2F17">
      <w:pPr>
        <w:rPr>
          <w:rFonts w:ascii="宋体" w:eastAsia="宋体" w:hAnsi="宋体" w:cs="宋体"/>
          <w:szCs w:val="21"/>
        </w:rPr>
      </w:pPr>
      <w:r w:rsidRPr="009736A5">
        <w:rPr>
          <w:rFonts w:ascii="宋体" w:eastAsia="宋体" w:hAnsi="宋体" w:cs="宋体"/>
          <w:b/>
          <w:szCs w:val="21"/>
        </w:rPr>
        <w:t>RESULTS:</w:t>
      </w:r>
      <w:r w:rsidRPr="004B2F17">
        <w:rPr>
          <w:rFonts w:ascii="宋体" w:eastAsia="宋体" w:hAnsi="宋体" w:cs="宋体"/>
          <w:szCs w:val="21"/>
        </w:rPr>
        <w:t xml:space="preserve"> We identified various mutations in the marR gene (WP_009952290.1) in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61% of clofazimine-resistant mutants by whole-genome sequencing. Mutations were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identified in additional genes encoding ssuD (flavin-dependent oxidoreductase,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C67A), lppI (membrane lipoprotein, C207 deletion), GMC oxidoreductase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(glucose-methanol-choline oxidoreductase, G157 deletion), MASE1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domain-containing protein (C62G) and PPE family protein (222C deletion). Gene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complementation experiments demonstrated that introducing the wild-type marR in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clofazimine-resistant strain (L72) with marR mutations reduced clofazimine MIC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from 1</w:t>
      </w:r>
      <w:r w:rsidRPr="004B2F17">
        <w:rPr>
          <w:rFonts w:ascii="MS Gothic" w:eastAsia="MS Gothic" w:hAnsi="MS Gothic" w:cs="MS Gothic" w:hint="eastAsia"/>
          <w:szCs w:val="21"/>
        </w:rPr>
        <w:t> </w:t>
      </w:r>
      <w:r w:rsidRPr="004B2F17">
        <w:rPr>
          <w:rFonts w:ascii="宋体" w:eastAsia="宋体" w:hAnsi="宋体" w:cs="宋体"/>
          <w:szCs w:val="21"/>
        </w:rPr>
        <w:t>mg/L to susceptible baseline (0.25</w:t>
      </w:r>
      <w:r w:rsidRPr="004B2F17">
        <w:rPr>
          <w:rFonts w:ascii="MS Gothic" w:eastAsia="MS Gothic" w:hAnsi="MS Gothic" w:cs="MS Gothic" w:hint="eastAsia"/>
          <w:szCs w:val="21"/>
        </w:rPr>
        <w:t> </w:t>
      </w:r>
      <w:r w:rsidRPr="004B2F17">
        <w:rPr>
          <w:rFonts w:ascii="宋体" w:eastAsia="宋体" w:hAnsi="宋体" w:cs="宋体"/>
          <w:szCs w:val="21"/>
        </w:rPr>
        <w:t xml:space="preserve">mg/L), confirming its critical role in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clofazimine resistance. Notably, the M. intracellulare MarR lacks homology to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Mycobacterium tuberculosis MarR family protein Rv0678 (MmpR) involved in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clofazimine and bedaquiline resistance but is flanked by non-efflux pump genes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(dhmA and doxX), and unlike M. tuberculosis, its mutation does not cause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bedaquiline cross-resistance, indicating a different MarR and distinct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regulatory mechanism for clofazimine resistance in M. intracellulare.</w:t>
      </w:r>
    </w:p>
    <w:p w:rsidR="004B2F17" w:rsidRPr="004B2F17" w:rsidRDefault="004B2F17" w:rsidP="004B2F17">
      <w:pPr>
        <w:rPr>
          <w:rFonts w:ascii="宋体" w:eastAsia="宋体" w:hAnsi="宋体" w:cs="宋体"/>
          <w:szCs w:val="21"/>
        </w:rPr>
      </w:pPr>
      <w:r w:rsidRPr="009736A5">
        <w:rPr>
          <w:rFonts w:ascii="宋体" w:eastAsia="宋体" w:hAnsi="宋体" w:cs="宋体"/>
          <w:b/>
          <w:szCs w:val="21"/>
        </w:rPr>
        <w:t xml:space="preserve">CONCLUSIONS: </w:t>
      </w:r>
      <w:r w:rsidRPr="004B2F17">
        <w:rPr>
          <w:rFonts w:ascii="宋体" w:eastAsia="宋体" w:hAnsi="宋体" w:cs="宋体"/>
          <w:szCs w:val="21"/>
        </w:rPr>
        <w:t xml:space="preserve">This work highlights marR as a key determinant of clofazimine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resistance in M. intracellulare and underscores the need for further mechanistic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studies with implications for rapid molecular detection and effective treatment.</w:t>
      </w:r>
    </w:p>
    <w:p w:rsidR="004B2F17" w:rsidRPr="004B2F17" w:rsidRDefault="004B2F17"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hint="eastAsia"/>
          <w:szCs w:val="21"/>
        </w:rPr>
        <w:t>©</w:t>
      </w:r>
      <w:r w:rsidRPr="004B2F17">
        <w:rPr>
          <w:rFonts w:ascii="宋体" w:eastAsia="宋体" w:hAnsi="宋体" w:cs="宋体"/>
          <w:szCs w:val="21"/>
        </w:rPr>
        <w:t xml:space="preserve"> The Author(s) 2025. Published by Oxford University Press on behalf of British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Society for Antimicrobial Chemotherapy. All rights reserved. For commercial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re-use, please contact reprints@oup.com for reprints and translation rights for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reprints. All other permissions can be obtained through our RightsLink service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via the Permissions link on the article page on our site—for further information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please contact journals.permissions@oup.com.</w:t>
      </w:r>
    </w:p>
    <w:p w:rsidR="004B2F17" w:rsidRPr="004B2F17" w:rsidRDefault="004B2F17"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szCs w:val="21"/>
        </w:rPr>
        <w:t>DOI: 10.1093/jac/dkaf321</w:t>
      </w:r>
    </w:p>
    <w:p w:rsidR="004B2F17" w:rsidRPr="004B2F17" w:rsidRDefault="004B2F17" w:rsidP="004B2F17">
      <w:pPr>
        <w:rPr>
          <w:rFonts w:ascii="宋体" w:eastAsia="宋体" w:hAnsi="宋体" w:cs="宋体"/>
          <w:szCs w:val="21"/>
        </w:rPr>
      </w:pPr>
      <w:r w:rsidRPr="004B2F17">
        <w:rPr>
          <w:rFonts w:ascii="宋体" w:eastAsia="宋体" w:hAnsi="宋体" w:cs="宋体"/>
          <w:szCs w:val="21"/>
        </w:rPr>
        <w:t>PMID: 40905483</w:t>
      </w:r>
    </w:p>
    <w:p w:rsidR="004B2F17" w:rsidRPr="004B2F17" w:rsidRDefault="004B2F17" w:rsidP="004B2F17">
      <w:pPr>
        <w:rPr>
          <w:rFonts w:ascii="宋体" w:eastAsia="宋体" w:hAnsi="宋体" w:cs="宋体"/>
          <w:szCs w:val="21"/>
        </w:rPr>
      </w:pPr>
    </w:p>
    <w:p w:rsidR="004B2F17" w:rsidRPr="009E4E5F" w:rsidRDefault="007844B7" w:rsidP="004B2F17">
      <w:pPr>
        <w:rPr>
          <w:rFonts w:ascii="宋体" w:eastAsia="宋体" w:hAnsi="宋体" w:cs="宋体"/>
          <w:b/>
          <w:color w:val="FF0000"/>
          <w:szCs w:val="21"/>
        </w:rPr>
      </w:pPr>
      <w:r>
        <w:rPr>
          <w:rFonts w:ascii="宋体" w:eastAsia="宋体" w:hAnsi="宋体" w:cs="宋体"/>
          <w:b/>
          <w:color w:val="FF0000"/>
          <w:szCs w:val="21"/>
        </w:rPr>
        <w:t>7</w:t>
      </w:r>
      <w:r w:rsidR="004B2F17" w:rsidRPr="009E4E5F">
        <w:rPr>
          <w:rFonts w:ascii="宋体" w:eastAsia="宋体" w:hAnsi="宋体" w:cs="宋体"/>
          <w:b/>
          <w:color w:val="FF0000"/>
          <w:szCs w:val="21"/>
        </w:rPr>
        <w:t xml:space="preserve">. Infect Dis Ther. 2025 Sep 3. doi: 10.1007/s40121-025-01221-3. Online ahead of </w:t>
      </w:r>
    </w:p>
    <w:p w:rsidR="004B2F17" w:rsidRPr="009E4E5F" w:rsidRDefault="004B2F17" w:rsidP="004B2F17">
      <w:pPr>
        <w:rPr>
          <w:rFonts w:ascii="宋体" w:eastAsia="宋体" w:hAnsi="宋体" w:cs="宋体"/>
          <w:b/>
          <w:color w:val="FF0000"/>
          <w:szCs w:val="21"/>
        </w:rPr>
      </w:pPr>
      <w:r w:rsidRPr="009E4E5F">
        <w:rPr>
          <w:rFonts w:ascii="宋体" w:eastAsia="宋体" w:hAnsi="宋体" w:cs="宋体"/>
          <w:b/>
          <w:color w:val="FF0000"/>
          <w:szCs w:val="21"/>
        </w:rPr>
        <w:t>print.</w:t>
      </w:r>
    </w:p>
    <w:p w:rsidR="004B2F17" w:rsidRPr="004B2F17" w:rsidRDefault="004B2F17"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A New Era in Tuberculosis Prevention and Treatment: Breakthroughs in Drug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Development and Future Prospects.</w:t>
      </w:r>
    </w:p>
    <w:p w:rsidR="004B2F17" w:rsidRPr="004B2F17" w:rsidRDefault="004B2F17"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Zhao CY(#)(1)(2), Song C(#)(1)(2), Lu YB(#)(3), Huang AC(1), Zeng CM(1), Liu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RH(2), Li WW(1), Xie ZH(4), Zhu QD(5).</w:t>
      </w:r>
    </w:p>
    <w:p w:rsidR="004B2F17" w:rsidRDefault="004B2F17" w:rsidP="004B2F17">
      <w:pPr>
        <w:rPr>
          <w:rFonts w:ascii="宋体" w:eastAsia="宋体" w:hAnsi="宋体" w:cs="宋体"/>
          <w:szCs w:val="21"/>
        </w:rPr>
      </w:pPr>
    </w:p>
    <w:p w:rsidR="00C80FE3" w:rsidRPr="00C80FE3" w:rsidRDefault="00C80FE3" w:rsidP="004B2F17">
      <w:pPr>
        <w:rPr>
          <w:rFonts w:ascii="宋体" w:eastAsia="宋体" w:hAnsi="宋体" w:cs="宋体"/>
          <w:b/>
          <w:color w:val="0070C0"/>
          <w:szCs w:val="21"/>
        </w:rPr>
      </w:pPr>
      <w:r w:rsidRPr="00C80FE3">
        <w:rPr>
          <w:rFonts w:ascii="宋体" w:eastAsia="宋体" w:hAnsi="宋体" w:cs="宋体"/>
          <w:b/>
          <w:color w:val="0070C0"/>
          <w:szCs w:val="21"/>
        </w:rPr>
        <w:t>Chun-Yan Zhao, Chang Song, Yi-Bo Lu, Ai-Chun Huang, Chun-Mei Zeng, Ren-Hao Liu, Wei-Wen Li, Zhou-Hua Xie</w:t>
      </w:r>
      <w:r w:rsidRPr="00C80FE3">
        <w:rPr>
          <w:rFonts w:ascii="宋体" w:eastAsia="宋体" w:hAnsi="宋体" w:cs="宋体" w:hint="eastAsia"/>
          <w:b/>
          <w:color w:val="0070C0"/>
          <w:szCs w:val="21"/>
        </w:rPr>
        <w:t>*</w:t>
      </w:r>
      <w:r w:rsidRPr="00C80FE3">
        <w:rPr>
          <w:rFonts w:ascii="宋体" w:eastAsia="宋体" w:hAnsi="宋体" w:cs="宋体"/>
          <w:b/>
          <w:color w:val="0070C0"/>
          <w:szCs w:val="21"/>
        </w:rPr>
        <w:t>, Qing-Dong Zhu</w:t>
      </w:r>
      <w:r w:rsidRPr="00C80FE3">
        <w:rPr>
          <w:rFonts w:ascii="宋体" w:eastAsia="宋体" w:hAnsi="宋体" w:cs="宋体" w:hint="eastAsia"/>
          <w:b/>
          <w:color w:val="0070C0"/>
          <w:szCs w:val="21"/>
        </w:rPr>
        <w:t>*</w:t>
      </w:r>
    </w:p>
    <w:p w:rsidR="00C80FE3" w:rsidRPr="00C80FE3" w:rsidRDefault="00C80FE3" w:rsidP="00C80FE3">
      <w:pPr>
        <w:jc w:val="left"/>
        <w:rPr>
          <w:rFonts w:ascii="宋体" w:eastAsia="宋体" w:hAnsi="宋体" w:cs="宋体"/>
          <w:b/>
          <w:color w:val="0070C0"/>
          <w:szCs w:val="21"/>
        </w:rPr>
      </w:pPr>
      <w:r w:rsidRPr="00C80FE3">
        <w:rPr>
          <w:rFonts w:ascii="宋体" w:eastAsia="宋体" w:hAnsi="宋体" w:cs="宋体" w:hint="eastAsia"/>
          <w:b/>
          <w:color w:val="0070C0"/>
          <w:szCs w:val="21"/>
        </w:rPr>
        <w:t>*</w:t>
      </w:r>
      <w:r w:rsidRPr="00C80FE3">
        <w:rPr>
          <w:rFonts w:ascii="宋体" w:eastAsia="宋体" w:hAnsi="宋体" w:cs="宋体"/>
          <w:b/>
          <w:color w:val="0070C0"/>
          <w:szCs w:val="21"/>
        </w:rPr>
        <w:t xml:space="preserve"> Zhou-Hua Xie, e</w:t>
      </w:r>
      <w:r w:rsidRPr="00C80FE3">
        <w:rPr>
          <w:rFonts w:ascii="宋体" w:eastAsia="宋体" w:hAnsi="宋体" w:cs="宋体"/>
          <w:b/>
          <w:color w:val="0070C0"/>
          <w:szCs w:val="21"/>
        </w:rPr>
        <w:noBreakHyphen/>
        <w:t xml:space="preserve">mail: 1491348066@qq.com </w:t>
      </w:r>
      <w:r w:rsidRPr="00C80FE3">
        <w:rPr>
          <w:rFonts w:ascii="宋体" w:eastAsia="宋体" w:hAnsi="宋体" w:cs="宋体" w:hint="eastAsia"/>
          <w:b/>
          <w:color w:val="0070C0"/>
          <w:szCs w:val="21"/>
        </w:rPr>
        <w:t>；</w:t>
      </w:r>
      <w:r w:rsidRPr="00C80FE3">
        <w:rPr>
          <w:rFonts w:ascii="宋体" w:eastAsia="宋体" w:hAnsi="宋体" w:cs="宋体"/>
          <w:b/>
          <w:color w:val="0070C0"/>
          <w:szCs w:val="21"/>
        </w:rPr>
        <w:t xml:space="preserve"> Qing-Dong Zhu</w:t>
      </w:r>
      <w:r w:rsidRPr="00C80FE3">
        <w:rPr>
          <w:rFonts w:ascii="宋体" w:eastAsia="宋体" w:hAnsi="宋体" w:cs="宋体" w:hint="eastAsia"/>
          <w:b/>
          <w:color w:val="0070C0"/>
          <w:szCs w:val="21"/>
        </w:rPr>
        <w:t>，</w:t>
      </w:r>
      <w:r w:rsidRPr="00C80FE3">
        <w:rPr>
          <w:rFonts w:ascii="宋体" w:eastAsia="宋体" w:hAnsi="宋体" w:cs="宋体"/>
          <w:b/>
          <w:color w:val="0070C0"/>
          <w:szCs w:val="21"/>
        </w:rPr>
        <w:t>e</w:t>
      </w:r>
      <w:r w:rsidRPr="00C80FE3">
        <w:rPr>
          <w:rFonts w:ascii="宋体" w:eastAsia="宋体" w:hAnsi="宋体" w:cs="宋体"/>
          <w:b/>
          <w:color w:val="0070C0"/>
          <w:szCs w:val="21"/>
        </w:rPr>
        <w:noBreakHyphen/>
        <w:t xml:space="preserve">mail: zhuqingdong2003@163.com </w:t>
      </w:r>
    </w:p>
    <w:p w:rsidR="00C80FE3" w:rsidRPr="004B2F17" w:rsidRDefault="00C80FE3"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szCs w:val="21"/>
        </w:rPr>
        <w:t>Author information:</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(1)Department of Tuberculosis, The Fourth People's Hospital of Nanning, Nanning,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530023, Guangxi, China.</w:t>
      </w:r>
    </w:p>
    <w:p w:rsidR="004B2F17" w:rsidRPr="004B2F17" w:rsidRDefault="004B2F17" w:rsidP="004B2F17">
      <w:pPr>
        <w:rPr>
          <w:rFonts w:ascii="宋体" w:eastAsia="宋体" w:hAnsi="宋体" w:cs="宋体"/>
          <w:szCs w:val="21"/>
        </w:rPr>
      </w:pPr>
      <w:r w:rsidRPr="004B2F17">
        <w:rPr>
          <w:rFonts w:ascii="宋体" w:eastAsia="宋体" w:hAnsi="宋体" w:cs="宋体"/>
          <w:szCs w:val="21"/>
        </w:rPr>
        <w:t>(2)Guangxi Medical University, Nanning, 530021, Guangxi, China.</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(3)Department of Radiology, The Fourth People's Hospital of Nanning, Nanning,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530023, Guangxi, China.</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(4)Department of Tuberculosis, The Fourth People's Hospital of Nanning, Nanning,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530023, Guangxi, China. 1491348066@qq.com.</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(5)Department of Tuberculosis, The Fourth People's Hospital of Nanning, Nanning,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530023, Guangxi, China. zhuqingdong2003@163.com.</w:t>
      </w:r>
    </w:p>
    <w:p w:rsidR="004B2F17" w:rsidRPr="004B2F17" w:rsidRDefault="004B2F17" w:rsidP="004B2F17">
      <w:pPr>
        <w:rPr>
          <w:rFonts w:ascii="宋体" w:eastAsia="宋体" w:hAnsi="宋体" w:cs="宋体"/>
          <w:szCs w:val="21"/>
        </w:rPr>
      </w:pPr>
      <w:r w:rsidRPr="004B2F17">
        <w:rPr>
          <w:rFonts w:ascii="宋体" w:eastAsia="宋体" w:hAnsi="宋体" w:cs="宋体"/>
          <w:szCs w:val="21"/>
        </w:rPr>
        <w:t>(#)Contributed equally</w:t>
      </w:r>
    </w:p>
    <w:p w:rsidR="004B2F17" w:rsidRPr="004B2F17" w:rsidRDefault="004B2F17"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Tuberculosis (TB) remains a significant global public health challenge, despite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recent advances in drug development. However, a comprehensive and systematic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overview of the current clinical trial landscape in TB prevention and treatment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is still lacking. This study aims to systematically review recent breakthroughs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in TB drug development, assess their scientific value and global impact, and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provide valuable insights for clinicians and policymakers involved in TB control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efforts. We systematically searched the INFORMA pharmaceutical database to </w:t>
      </w:r>
    </w:p>
    <w:p w:rsidR="004B2F17" w:rsidRPr="004B2F17" w:rsidRDefault="004B2F17" w:rsidP="004B2F17">
      <w:pPr>
        <w:rPr>
          <w:rFonts w:ascii="宋体" w:eastAsia="宋体" w:hAnsi="宋体" w:cs="宋体"/>
          <w:szCs w:val="21"/>
        </w:rPr>
      </w:pPr>
      <w:r w:rsidRPr="004B2F17">
        <w:rPr>
          <w:rFonts w:ascii="宋体" w:eastAsia="宋体" w:hAnsi="宋体" w:cs="宋体"/>
          <w:szCs w:val="21"/>
        </w:rPr>
        <w:lastRenderedPageBreak/>
        <w:t xml:space="preserve">identify 1041 clinical trial projects related to TB. Two independent researchers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screened and extracted the data, and discrepancies were resolved through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consultation with a third researcher. Inclusion criteria were: (1) trials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explicitly focused on TB drug development, (2) studies containing detailed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descriptions of drug mechanisms or therapeutic targets, and (3) interventional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studies. Exclusion criteria were the absence of key information, incomplete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datasets, or non-interventional study designs. Descriptive statistical analyses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were employed to systematically summarize trial characteristics, and data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distribution features were visualized accordingly. Between 1990 and 2025, the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number of TB-related clinical trials increased significantly, with a notable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peak observed between 2018 and 2023. China and South Africa emerged as leading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contributors to research activity, while the United States and the United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Kingdom accounted for the majority of "Completed" trials. Despite the emergence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of novel agents, traditional cornerstone drugs continued to dominate the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development pipeline. Bedaquiline, in particular, demonstrated rapid, largely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driven by supportive health policies. Academic institutions were the primary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funding of TB trials, and regional analysis revealed heightened research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activity in Asia and Africa. However, the global distribution of research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resources remained uneven, highlighting the need for improved collaboration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mechanisms to promote both health equity and innovation. This study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systematically offers a comprehensive review of recent breakthroughs in TB drug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development, revealing the current status and persistent challenges facing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global clinical trials. Realizing the goal of ending TB will require sustained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investment in scientific innovation, equitable resource allocation, and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steadfast political commitment. Through coordinated global efforts, a new era in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TB prevention and treatment is within reach.</w:t>
      </w:r>
    </w:p>
    <w:p w:rsidR="004B2F17" w:rsidRPr="004B2F17" w:rsidRDefault="004B2F17"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hint="eastAsia"/>
          <w:szCs w:val="21"/>
        </w:rPr>
        <w:t>©</w:t>
      </w:r>
      <w:r w:rsidRPr="004B2F17">
        <w:rPr>
          <w:rFonts w:ascii="宋体" w:eastAsia="宋体" w:hAnsi="宋体" w:cs="宋体"/>
          <w:szCs w:val="21"/>
        </w:rPr>
        <w:t xml:space="preserve"> 2025. The Author(s).</w:t>
      </w:r>
    </w:p>
    <w:p w:rsidR="004B2F17" w:rsidRPr="004B2F17" w:rsidRDefault="004B2F17"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szCs w:val="21"/>
        </w:rPr>
        <w:t>DOI: 10.1007/s40121-025-01221-3</w:t>
      </w:r>
    </w:p>
    <w:p w:rsidR="004B2F17" w:rsidRPr="004B2F17" w:rsidRDefault="004B2F17" w:rsidP="004B2F17">
      <w:pPr>
        <w:rPr>
          <w:rFonts w:ascii="宋体" w:eastAsia="宋体" w:hAnsi="宋体" w:cs="宋体"/>
          <w:szCs w:val="21"/>
        </w:rPr>
      </w:pPr>
      <w:r w:rsidRPr="004B2F17">
        <w:rPr>
          <w:rFonts w:ascii="宋体" w:eastAsia="宋体" w:hAnsi="宋体" w:cs="宋体"/>
          <w:szCs w:val="21"/>
        </w:rPr>
        <w:t>PMID: 40900290</w:t>
      </w:r>
    </w:p>
    <w:p w:rsidR="004B2F17" w:rsidRPr="004B2F17" w:rsidRDefault="004B2F17" w:rsidP="004B2F17">
      <w:pPr>
        <w:rPr>
          <w:rFonts w:ascii="宋体" w:eastAsia="宋体" w:hAnsi="宋体" w:cs="宋体"/>
          <w:szCs w:val="21"/>
        </w:rPr>
      </w:pPr>
    </w:p>
    <w:p w:rsidR="004B2F17" w:rsidRPr="009E4E5F" w:rsidRDefault="007844B7" w:rsidP="004B2F17">
      <w:pPr>
        <w:rPr>
          <w:rFonts w:ascii="宋体" w:eastAsia="宋体" w:hAnsi="宋体" w:cs="宋体"/>
          <w:b/>
          <w:color w:val="FF0000"/>
          <w:szCs w:val="21"/>
        </w:rPr>
      </w:pPr>
      <w:r>
        <w:rPr>
          <w:rFonts w:ascii="宋体" w:eastAsia="宋体" w:hAnsi="宋体" w:cs="宋体"/>
          <w:b/>
          <w:color w:val="FF0000"/>
          <w:szCs w:val="21"/>
        </w:rPr>
        <w:t>8</w:t>
      </w:r>
      <w:r w:rsidR="004B2F17" w:rsidRPr="009E4E5F">
        <w:rPr>
          <w:rFonts w:ascii="宋体" w:eastAsia="宋体" w:hAnsi="宋体" w:cs="宋体"/>
          <w:b/>
          <w:color w:val="FF0000"/>
          <w:szCs w:val="21"/>
        </w:rPr>
        <w:t xml:space="preserve">. Microbiol Spectr. 2025 Sep 3:e0016525. doi: 10.1128/spectrum.00165-25. Online </w:t>
      </w:r>
    </w:p>
    <w:p w:rsidR="004B2F17" w:rsidRPr="009E4E5F" w:rsidRDefault="004B2F17" w:rsidP="004B2F17">
      <w:pPr>
        <w:rPr>
          <w:rFonts w:ascii="宋体" w:eastAsia="宋体" w:hAnsi="宋体" w:cs="宋体"/>
          <w:b/>
          <w:color w:val="FF0000"/>
          <w:szCs w:val="21"/>
        </w:rPr>
      </w:pPr>
      <w:r w:rsidRPr="009E4E5F">
        <w:rPr>
          <w:rFonts w:ascii="宋体" w:eastAsia="宋体" w:hAnsi="宋体" w:cs="宋体"/>
          <w:b/>
          <w:color w:val="FF0000"/>
          <w:szCs w:val="21"/>
        </w:rPr>
        <w:t>ahead of print.</w:t>
      </w:r>
    </w:p>
    <w:p w:rsidR="004B2F17" w:rsidRPr="004B2F17" w:rsidRDefault="004B2F17"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Application of engineered CRISPR/Cas12a variants with altered protospacer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adjacent motif specificities for the detection of isoniazid resistance mutations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in Mycobacterium tuberculosis.</w:t>
      </w:r>
    </w:p>
    <w:p w:rsidR="004B2F17" w:rsidRPr="004B2F17" w:rsidRDefault="004B2F17"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Liu P(#)(1)(2), Zhang J(#)(2)(3), Gong Y(#)(1), Liu W(1), Xiao G(1), Liang J(4),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Wang X(2), Bi J(1), Zhang G(1).</w:t>
      </w:r>
    </w:p>
    <w:p w:rsidR="004B2F17" w:rsidRDefault="004B2F17" w:rsidP="004B2F17">
      <w:pPr>
        <w:rPr>
          <w:rFonts w:ascii="宋体" w:eastAsia="宋体" w:hAnsi="宋体" w:cs="宋体"/>
          <w:szCs w:val="21"/>
        </w:rPr>
      </w:pPr>
    </w:p>
    <w:p w:rsidR="009D7B56" w:rsidRPr="009D7B56" w:rsidRDefault="009D7B56" w:rsidP="004B2F17">
      <w:pPr>
        <w:rPr>
          <w:rFonts w:ascii="宋体" w:eastAsia="宋体" w:hAnsi="宋体" w:cs="宋体"/>
          <w:b/>
          <w:color w:val="0070C0"/>
          <w:szCs w:val="21"/>
        </w:rPr>
      </w:pPr>
      <w:r w:rsidRPr="009D7B56">
        <w:rPr>
          <w:rFonts w:ascii="宋体" w:eastAsia="宋体" w:hAnsi="宋体" w:cs="宋体"/>
          <w:b/>
          <w:color w:val="0070C0"/>
          <w:szCs w:val="21"/>
        </w:rPr>
        <w:t>Peng Liu, Jinping Zhang, Yaqi Gong, Wenqi Liu, Guohui Xiao, Juan Liang, Xuan Wang, Jing Bi, Guoliang Zhang</w:t>
      </w:r>
      <w:r w:rsidRPr="009D7B56">
        <w:rPr>
          <w:rFonts w:ascii="宋体" w:eastAsia="宋体" w:hAnsi="宋体" w:cs="宋体" w:hint="eastAsia"/>
          <w:b/>
          <w:color w:val="0070C0"/>
          <w:szCs w:val="21"/>
        </w:rPr>
        <w:t>*</w:t>
      </w:r>
    </w:p>
    <w:p w:rsidR="009D7B56" w:rsidRPr="009D7B56" w:rsidRDefault="009D7B56" w:rsidP="004B2F17">
      <w:pPr>
        <w:rPr>
          <w:rFonts w:ascii="宋体" w:eastAsia="宋体" w:hAnsi="宋体" w:cs="宋体"/>
          <w:b/>
          <w:color w:val="0070C0"/>
          <w:szCs w:val="21"/>
        </w:rPr>
      </w:pPr>
      <w:r w:rsidRPr="009D7B56">
        <w:rPr>
          <w:rFonts w:ascii="宋体" w:eastAsia="宋体" w:hAnsi="宋体" w:cs="宋体" w:hint="eastAsia"/>
          <w:b/>
          <w:color w:val="0070C0"/>
          <w:szCs w:val="21"/>
        </w:rPr>
        <w:lastRenderedPageBreak/>
        <w:t>*</w:t>
      </w:r>
      <w:r w:rsidRPr="009D7B56">
        <w:rPr>
          <w:rFonts w:ascii="宋体" w:eastAsia="宋体" w:hAnsi="宋体" w:cs="宋体"/>
          <w:b/>
          <w:color w:val="0070C0"/>
          <w:szCs w:val="21"/>
        </w:rPr>
        <w:t xml:space="preserve">Address correspondence to Guoliang Zhang, </w:t>
      </w:r>
      <w:hyperlink r:id="rId10" w:history="1">
        <w:r w:rsidRPr="009D7B56">
          <w:rPr>
            <w:rStyle w:val="a6"/>
            <w:rFonts w:ascii="宋体" w:eastAsia="宋体" w:hAnsi="宋体" w:cs="宋体"/>
            <w:b/>
            <w:color w:val="0070C0"/>
            <w:szCs w:val="21"/>
            <w:u w:val="none"/>
          </w:rPr>
          <w:t>szdsyy@aliyun.com</w:t>
        </w:r>
      </w:hyperlink>
      <w:r w:rsidRPr="009D7B56">
        <w:rPr>
          <w:rFonts w:ascii="宋体" w:eastAsia="宋体" w:hAnsi="宋体" w:cs="宋体"/>
          <w:b/>
          <w:color w:val="0070C0"/>
          <w:szCs w:val="21"/>
        </w:rPr>
        <w:t>.</w:t>
      </w:r>
    </w:p>
    <w:p w:rsidR="009D7B56" w:rsidRDefault="009D7B56"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szCs w:val="21"/>
        </w:rPr>
        <w:t>Author information:</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(1)National Clinical Research Center for Infectious Diseases, Guangdong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Provincial Clinical Research Center for Tuberculosis, Shenzhen Third People's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Hospital, Southern University of Science and Technology, Shenzhen, China.</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(2)Wuhan Pulmonary Hospital, Wuhan Tuberculosis Prevention and Control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Institute, The Hubei Branch of the National Clinical Research Center for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Infectious Disease, Wuhan, China.</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(3)Intensive Care Unit, Liyuan Hospital, Tongji Medical College, Huazhong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University of Science and Technology, Wuhan, China.</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(4)Clinical Laboratory Experiment Center, Hangzhou Red Cross Hospital, Zhejiang,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China.</w:t>
      </w:r>
    </w:p>
    <w:p w:rsidR="004B2F17" w:rsidRPr="004B2F17" w:rsidRDefault="004B2F17" w:rsidP="004B2F17">
      <w:pPr>
        <w:rPr>
          <w:rFonts w:ascii="宋体" w:eastAsia="宋体" w:hAnsi="宋体" w:cs="宋体"/>
          <w:szCs w:val="21"/>
        </w:rPr>
      </w:pPr>
      <w:r w:rsidRPr="004B2F17">
        <w:rPr>
          <w:rFonts w:ascii="宋体" w:eastAsia="宋体" w:hAnsi="宋体" w:cs="宋体"/>
          <w:szCs w:val="21"/>
        </w:rPr>
        <w:t>(#)Contributed equally</w:t>
      </w:r>
    </w:p>
    <w:p w:rsidR="004B2F17" w:rsidRPr="004B2F17" w:rsidRDefault="004B2F17"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Drug-resistant tuberculosis (TB) is a major global public health concern.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Although isoniazid is currently considered one of the most effective first-line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drugs for TB treatment, its efficacy is limited by the emergence of resistance.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Therefore, it is imperative to develop new methods for detecting drug-resistant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TB. In this study, we developed a nucleic acid detection system based on the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clustered regularly interspaced short palindromic repeat (CRISPR) Cas12a_RR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protein. The system combines recombinase polymerase amplification with an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engineered CRISPR/Cas12a_RR protein to enable rapid and specific detection of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the katG G944C mutation in isoniazid-resistant Mycobacterium tuberculosis (Mtb).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It could detect the target DNA at concentrations as low as 1% in a mixed sample.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Compared with TaqMan quantitative polymerase chain reaction and DNA sequencing,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the CRISPR/Cas12a_RR system demonstrated superior detection performance in terms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of sensitivity, specificity, and cost-effectiveness. Furthermore, it effectively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differentiated between drug-resistant Mtb strains from wild-type Mtb strains in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clinically isolated samples, with the entire detection process completed in 60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min. In conclusion, the CRISPR/Cas12a_RR detection system offers a novel, rapid,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simple, sensitive, and specific approach for identifying isoniazid-resistant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Mtb, with significant potential for clinical application, particularly in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resource-limited settings.</w:t>
      </w:r>
    </w:p>
    <w:p w:rsidR="004B2F17" w:rsidRPr="004B2F17" w:rsidRDefault="004B2F17" w:rsidP="004B2F17">
      <w:pPr>
        <w:rPr>
          <w:rFonts w:ascii="宋体" w:eastAsia="宋体" w:hAnsi="宋体" w:cs="宋体"/>
          <w:szCs w:val="21"/>
        </w:rPr>
      </w:pPr>
      <w:r w:rsidRPr="008B32CE">
        <w:rPr>
          <w:rFonts w:ascii="宋体" w:eastAsia="宋体" w:hAnsi="宋体" w:cs="宋体"/>
          <w:b/>
          <w:szCs w:val="21"/>
        </w:rPr>
        <w:t xml:space="preserve">IMPORTANCE: </w:t>
      </w:r>
      <w:r w:rsidRPr="004B2F17">
        <w:rPr>
          <w:rFonts w:ascii="宋体" w:eastAsia="宋体" w:hAnsi="宋体" w:cs="宋体"/>
          <w:szCs w:val="21"/>
        </w:rPr>
        <w:t xml:space="preserve">This study presents a novel method for detecting isoniazid-resistant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Mycobacterium tuberculosis (Mtb) using clustered regularly interspaced short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palindromic repeat (CRISPR)/Cas12a mutants, offering rapid detection,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cost-effectiveness, and high specificity, and thereby providing a promising new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avenue for detecting isoniazid-resistant Mtb.</w:t>
      </w:r>
    </w:p>
    <w:p w:rsidR="004B2F17" w:rsidRPr="004B2F17" w:rsidRDefault="004B2F17"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szCs w:val="21"/>
        </w:rPr>
        <w:t>DOI: 10.1128/spectrum.00165-25</w:t>
      </w:r>
    </w:p>
    <w:p w:rsidR="004B2F17" w:rsidRPr="004B2F17" w:rsidRDefault="004B2F17" w:rsidP="004B2F17">
      <w:pPr>
        <w:rPr>
          <w:rFonts w:ascii="宋体" w:eastAsia="宋体" w:hAnsi="宋体" w:cs="宋体"/>
          <w:szCs w:val="21"/>
        </w:rPr>
      </w:pPr>
      <w:r w:rsidRPr="004B2F17">
        <w:rPr>
          <w:rFonts w:ascii="宋体" w:eastAsia="宋体" w:hAnsi="宋体" w:cs="宋体"/>
          <w:szCs w:val="21"/>
        </w:rPr>
        <w:t>PMID: 40899880</w:t>
      </w:r>
    </w:p>
    <w:p w:rsidR="004B2F17" w:rsidRPr="004B2F17" w:rsidRDefault="004B2F17" w:rsidP="004B2F17">
      <w:pPr>
        <w:rPr>
          <w:rFonts w:ascii="宋体" w:eastAsia="宋体" w:hAnsi="宋体" w:cs="宋体"/>
          <w:szCs w:val="21"/>
        </w:rPr>
      </w:pPr>
    </w:p>
    <w:p w:rsidR="004B2F17" w:rsidRPr="009E4E5F" w:rsidRDefault="007844B7" w:rsidP="004B2F17">
      <w:pPr>
        <w:rPr>
          <w:rFonts w:ascii="宋体" w:eastAsia="宋体" w:hAnsi="宋体" w:cs="宋体"/>
          <w:b/>
          <w:color w:val="FF0000"/>
          <w:szCs w:val="21"/>
        </w:rPr>
      </w:pPr>
      <w:r>
        <w:rPr>
          <w:rFonts w:ascii="宋体" w:eastAsia="宋体" w:hAnsi="宋体" w:cs="宋体"/>
          <w:b/>
          <w:color w:val="FF0000"/>
          <w:szCs w:val="21"/>
        </w:rPr>
        <w:t>9</w:t>
      </w:r>
      <w:r w:rsidR="004B2F17" w:rsidRPr="009E4E5F">
        <w:rPr>
          <w:rFonts w:ascii="宋体" w:eastAsia="宋体" w:hAnsi="宋体" w:cs="宋体"/>
          <w:b/>
          <w:color w:val="FF0000"/>
          <w:szCs w:val="21"/>
        </w:rPr>
        <w:t xml:space="preserve">. Microbiol Spectr. 2025 Sep 3:e0137025. doi: 10.1128/spectrum.01370-25. Online </w:t>
      </w:r>
    </w:p>
    <w:p w:rsidR="004B2F17" w:rsidRPr="009E4E5F" w:rsidRDefault="004B2F17" w:rsidP="004B2F17">
      <w:pPr>
        <w:rPr>
          <w:rFonts w:ascii="宋体" w:eastAsia="宋体" w:hAnsi="宋体" w:cs="宋体"/>
          <w:b/>
          <w:color w:val="FF0000"/>
          <w:szCs w:val="21"/>
        </w:rPr>
      </w:pPr>
      <w:r w:rsidRPr="009E4E5F">
        <w:rPr>
          <w:rFonts w:ascii="宋体" w:eastAsia="宋体" w:hAnsi="宋体" w:cs="宋体"/>
          <w:b/>
          <w:color w:val="FF0000"/>
          <w:szCs w:val="21"/>
        </w:rPr>
        <w:lastRenderedPageBreak/>
        <w:t>ahead of print.</w:t>
      </w:r>
    </w:p>
    <w:p w:rsidR="004B2F17" w:rsidRPr="004B2F17" w:rsidRDefault="004B2F17"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Prevalence and distribution patterns of drug resistance in Mycobacterium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tuberculosis to first-line antituberculosis drugs in Urumqi, China.</w:t>
      </w:r>
    </w:p>
    <w:p w:rsidR="004B2F17" w:rsidRPr="004B2F17" w:rsidRDefault="004B2F17"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Yang J(#)(1)(2), Lou P(#)(3), Zhang W(1), Chen Y(1), Lu Y(1), Xue N(4), Wang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P(5), Wang K(6).</w:t>
      </w:r>
    </w:p>
    <w:p w:rsidR="004B2F17" w:rsidRDefault="004B2F17" w:rsidP="004B2F17">
      <w:pPr>
        <w:rPr>
          <w:rFonts w:ascii="宋体" w:eastAsia="宋体" w:hAnsi="宋体" w:cs="宋体"/>
          <w:szCs w:val="21"/>
        </w:rPr>
      </w:pPr>
    </w:p>
    <w:p w:rsidR="00FC02B9" w:rsidRPr="00FC02B9" w:rsidRDefault="00FC02B9" w:rsidP="004B2F17">
      <w:pPr>
        <w:rPr>
          <w:rFonts w:ascii="宋体" w:eastAsia="宋体" w:hAnsi="宋体" w:cs="宋体"/>
          <w:b/>
          <w:color w:val="0070C0"/>
          <w:szCs w:val="21"/>
        </w:rPr>
      </w:pPr>
      <w:r w:rsidRPr="00FC02B9">
        <w:rPr>
          <w:rFonts w:ascii="宋体" w:eastAsia="宋体" w:hAnsi="宋体" w:cs="宋体"/>
          <w:b/>
          <w:color w:val="0070C0"/>
          <w:szCs w:val="21"/>
        </w:rPr>
        <w:t>Jiandong Yang, Pengwei Lou, Weisheng Zhang, Yanggui Chen, Yaoqin Lu, Na Xue, Peisheng Wang, Kai Wang</w:t>
      </w:r>
      <w:r w:rsidRPr="00FC02B9">
        <w:rPr>
          <w:rFonts w:ascii="宋体" w:eastAsia="宋体" w:hAnsi="宋体" w:cs="宋体" w:hint="eastAsia"/>
          <w:b/>
          <w:color w:val="0070C0"/>
          <w:szCs w:val="21"/>
        </w:rPr>
        <w:t>*</w:t>
      </w:r>
    </w:p>
    <w:p w:rsidR="00FC02B9" w:rsidRPr="00FC02B9" w:rsidRDefault="00FC02B9" w:rsidP="004B2F17">
      <w:pPr>
        <w:rPr>
          <w:rFonts w:ascii="宋体" w:eastAsia="宋体" w:hAnsi="宋体" w:cs="宋体"/>
          <w:b/>
          <w:color w:val="0070C0"/>
          <w:szCs w:val="21"/>
        </w:rPr>
      </w:pPr>
      <w:r w:rsidRPr="00FC02B9">
        <w:rPr>
          <w:rFonts w:ascii="宋体" w:eastAsia="宋体" w:hAnsi="宋体" w:cs="宋体" w:hint="eastAsia"/>
          <w:b/>
          <w:color w:val="0070C0"/>
          <w:szCs w:val="21"/>
        </w:rPr>
        <w:t>*</w:t>
      </w:r>
      <w:r w:rsidRPr="00FC02B9">
        <w:rPr>
          <w:rFonts w:ascii="宋体" w:eastAsia="宋体" w:hAnsi="宋体" w:cs="宋体"/>
          <w:b/>
          <w:color w:val="0070C0"/>
          <w:szCs w:val="21"/>
        </w:rPr>
        <w:t xml:space="preserve">Address correspondence to Kai Wang, </w:t>
      </w:r>
      <w:hyperlink r:id="rId11" w:history="1">
        <w:r w:rsidRPr="00FC02B9">
          <w:rPr>
            <w:rStyle w:val="a6"/>
            <w:rFonts w:ascii="宋体" w:eastAsia="宋体" w:hAnsi="宋体" w:cs="宋体"/>
            <w:b/>
            <w:color w:val="0070C0"/>
            <w:szCs w:val="21"/>
            <w:u w:val="none"/>
          </w:rPr>
          <w:t>wangkaimath@sina.com</w:t>
        </w:r>
      </w:hyperlink>
    </w:p>
    <w:p w:rsidR="00FC02B9" w:rsidRDefault="00FC02B9"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szCs w:val="21"/>
        </w:rPr>
        <w:t>Author information:</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(1)Department of Tuberculosis Control and Prevention, Urumqi Center for Disease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Control and Prevention, Urumqi, People's Republic of China.</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(2)School of Public Health, Xinjiang Medical University, Urumqi, People's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Republic of China.</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(3)Department of Big Data, College of Information Engineering, Xinjiang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Institute of Engineering, Urumqi, People's Republic of China.</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(4)Department of Infectious Disease Control and Prevention, Urumqi Center for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Disease Control and Prevention, Urumqi, People's Republic of China.</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(5)Department of Science, Education and International Exchange, Urumqi Center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for Disease Control and Prevention, Urumqi, People's Republic of China.</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(6)Laboratory of Pathogenesis, Prevention and Treatment of High Incidence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Diseases in Central Asia, Department of Medical Engineering and Technology,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Xinjiang Medical University, Urumqi, China.</w:t>
      </w:r>
    </w:p>
    <w:p w:rsidR="004B2F17" w:rsidRPr="004B2F17" w:rsidRDefault="004B2F17" w:rsidP="004B2F17">
      <w:pPr>
        <w:rPr>
          <w:rFonts w:ascii="宋体" w:eastAsia="宋体" w:hAnsi="宋体" w:cs="宋体"/>
          <w:szCs w:val="21"/>
        </w:rPr>
      </w:pPr>
      <w:r w:rsidRPr="004B2F17">
        <w:rPr>
          <w:rFonts w:ascii="宋体" w:eastAsia="宋体" w:hAnsi="宋体" w:cs="宋体"/>
          <w:szCs w:val="21"/>
        </w:rPr>
        <w:t>(#)Contributed equally</w:t>
      </w:r>
    </w:p>
    <w:p w:rsidR="004B2F17" w:rsidRPr="004B2F17" w:rsidRDefault="004B2F17"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This study aimed to investigate the epidemic status and distribution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characteristics of drug-resistant Mycobacterium tuberculosis in Urumqi. From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January 2019 to July 2024, all sputum culture-positive Mycobacterium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tuberculosis strains were collected in Urumqi. Using the traditional solid-state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proportion method for drug-sensitivity testing, we determined the resistance of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Mycobacterium tuberculosis to first-line antituberculosis (TB) drugs. The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epidemic status and distribution characteristics of first-line antituberculosis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drug-resistant Mycobacterium tuberculosis were analyzed using R statistical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software (version 3.6.1). Among the 1,241 culture-positive Mycobacterium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tuberculosis strains included in this analysis, 973 (78.40%) were smear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positive. The overall proportion of non-tuberculous mycobacteria was 2.5%. The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overall prevalence of drug-resistant tuberculosis (DR-TB) was 18.93%, with a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prevalence of 17.78% in new cases and 24.40% in retreatment cases, respectively.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In this survey, the overall prevalence was 10.91% (132 out of 1,210) for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mono-drug-resistant tuberculosis, 3.72% (45 out of 1,210) for polydrug-resistant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tuberculosis, and 4.30% (52 out of 1,210) for multidrug-resistant tuberculosis. </w:t>
      </w:r>
    </w:p>
    <w:p w:rsidR="004B2F17" w:rsidRPr="004B2F17" w:rsidRDefault="004B2F17" w:rsidP="004B2F17">
      <w:pPr>
        <w:rPr>
          <w:rFonts w:ascii="宋体" w:eastAsia="宋体" w:hAnsi="宋体" w:cs="宋体"/>
          <w:szCs w:val="21"/>
        </w:rPr>
      </w:pPr>
      <w:r w:rsidRPr="004B2F17">
        <w:rPr>
          <w:rFonts w:ascii="宋体" w:eastAsia="宋体" w:hAnsi="宋体" w:cs="宋体"/>
          <w:szCs w:val="21"/>
        </w:rPr>
        <w:lastRenderedPageBreak/>
        <w:t xml:space="preserve">Moreover, the patterns of resistance to first-line anti-TB drugs were highly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diverse. The drug-resistance rate among retreatment tuberculosis patients in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Urumqi remains notably high. Thus, enhancing drug-resistance surveillance in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these patients is critical for effective tuberculosis prevention and control in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the region.</w:t>
      </w:r>
    </w:p>
    <w:p w:rsidR="004B2F17" w:rsidRPr="004B2F17" w:rsidRDefault="004B2F17" w:rsidP="004B2F17">
      <w:pPr>
        <w:rPr>
          <w:rFonts w:ascii="宋体" w:eastAsia="宋体" w:hAnsi="宋体" w:cs="宋体"/>
          <w:szCs w:val="21"/>
        </w:rPr>
      </w:pPr>
      <w:r w:rsidRPr="008B32CE">
        <w:rPr>
          <w:rFonts w:ascii="宋体" w:eastAsia="宋体" w:hAnsi="宋体" w:cs="宋体"/>
          <w:b/>
          <w:szCs w:val="21"/>
        </w:rPr>
        <w:t>IMPORTANCE:</w:t>
      </w:r>
      <w:r w:rsidRPr="004B2F17">
        <w:rPr>
          <w:rFonts w:ascii="宋体" w:eastAsia="宋体" w:hAnsi="宋体" w:cs="宋体"/>
          <w:szCs w:val="21"/>
        </w:rPr>
        <w:t xml:space="preserve"> The result of this study indicated that DR-TB is a serious public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health problem in Urumqi. Resistance drugs distributed type to first-line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anti-TB drugs are very broad in Urumqi. Any resistance to anti-TB drugs in new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cases is more than in retreatment cases.</w:t>
      </w:r>
    </w:p>
    <w:p w:rsidR="004B2F17" w:rsidRPr="004B2F17" w:rsidRDefault="004B2F17"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szCs w:val="21"/>
        </w:rPr>
        <w:t>DOI: 10.1128/spectrum.01370-25</w:t>
      </w:r>
    </w:p>
    <w:p w:rsidR="004B2F17" w:rsidRPr="004B2F17" w:rsidRDefault="004B2F17" w:rsidP="004B2F17">
      <w:pPr>
        <w:rPr>
          <w:rFonts w:ascii="宋体" w:eastAsia="宋体" w:hAnsi="宋体" w:cs="宋体"/>
          <w:szCs w:val="21"/>
        </w:rPr>
      </w:pPr>
      <w:r w:rsidRPr="004B2F17">
        <w:rPr>
          <w:rFonts w:ascii="宋体" w:eastAsia="宋体" w:hAnsi="宋体" w:cs="宋体"/>
          <w:szCs w:val="21"/>
        </w:rPr>
        <w:t>PMID: 40899878</w:t>
      </w:r>
      <w:bookmarkStart w:id="0" w:name="_GoBack"/>
      <w:bookmarkEnd w:id="0"/>
    </w:p>
    <w:p w:rsidR="004B2F17" w:rsidRPr="004B2F17" w:rsidRDefault="004B2F17" w:rsidP="004B2F17">
      <w:pPr>
        <w:rPr>
          <w:rFonts w:ascii="宋体" w:eastAsia="宋体" w:hAnsi="宋体" w:cs="宋体"/>
          <w:szCs w:val="21"/>
        </w:rPr>
      </w:pPr>
    </w:p>
    <w:p w:rsidR="004B2F17" w:rsidRPr="009E4E5F" w:rsidRDefault="007844B7" w:rsidP="004B2F17">
      <w:pPr>
        <w:rPr>
          <w:rFonts w:ascii="宋体" w:eastAsia="宋体" w:hAnsi="宋体" w:cs="宋体"/>
          <w:b/>
          <w:color w:val="FF0000"/>
          <w:szCs w:val="21"/>
        </w:rPr>
      </w:pPr>
      <w:r>
        <w:rPr>
          <w:rFonts w:ascii="宋体" w:eastAsia="宋体" w:hAnsi="宋体" w:cs="宋体"/>
          <w:b/>
          <w:color w:val="FF0000"/>
          <w:szCs w:val="21"/>
        </w:rPr>
        <w:t>10</w:t>
      </w:r>
      <w:r w:rsidR="004B2F17" w:rsidRPr="009E4E5F">
        <w:rPr>
          <w:rFonts w:ascii="宋体" w:eastAsia="宋体" w:hAnsi="宋体" w:cs="宋体"/>
          <w:b/>
          <w:color w:val="FF0000"/>
          <w:szCs w:val="21"/>
        </w:rPr>
        <w:t>. BMC Infect Dis. 2025 Sep 2;25(1):1094. doi: 10.1186/s12879-025-11460-x.</w:t>
      </w:r>
    </w:p>
    <w:p w:rsidR="004B2F17" w:rsidRPr="004B2F17" w:rsidRDefault="004B2F17"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Risk factors and prevalence of latent tuberculosis infection in rheumatic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patients: a meta-analysis.</w:t>
      </w:r>
    </w:p>
    <w:p w:rsidR="004B2F17" w:rsidRPr="004B2F17" w:rsidRDefault="004B2F17"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szCs w:val="21"/>
        </w:rPr>
        <w:t>Huang J(1), Xia J(2), Hong B(2), Zhang C(2), Zhao L(3), Yuan P(4), Jiang S(2).</w:t>
      </w:r>
    </w:p>
    <w:p w:rsidR="004B2F17" w:rsidRDefault="004B2F17" w:rsidP="004B2F17">
      <w:pPr>
        <w:rPr>
          <w:rFonts w:ascii="宋体" w:eastAsia="宋体" w:hAnsi="宋体" w:cs="宋体"/>
          <w:szCs w:val="21"/>
        </w:rPr>
      </w:pPr>
    </w:p>
    <w:p w:rsidR="002F6B74" w:rsidRPr="002F6B74" w:rsidRDefault="002F6B74" w:rsidP="004B2F17">
      <w:pPr>
        <w:rPr>
          <w:rFonts w:ascii="宋体" w:eastAsia="宋体" w:hAnsi="宋体" w:cs="宋体"/>
          <w:b/>
          <w:color w:val="0070C0"/>
          <w:szCs w:val="21"/>
        </w:rPr>
      </w:pPr>
      <w:r w:rsidRPr="002F6B74">
        <w:rPr>
          <w:rFonts w:ascii="宋体" w:eastAsia="宋体" w:hAnsi="宋体" w:cs="宋体"/>
          <w:b/>
          <w:color w:val="0070C0"/>
          <w:szCs w:val="21"/>
        </w:rPr>
        <w:t>Jincheng Huang</w:t>
      </w:r>
      <w:r w:rsidRPr="002F6B74">
        <w:rPr>
          <w:rFonts w:ascii="宋体" w:eastAsia="宋体" w:hAnsi="宋体" w:cs="宋体" w:hint="eastAsia"/>
          <w:b/>
          <w:color w:val="0070C0"/>
          <w:szCs w:val="21"/>
        </w:rPr>
        <w:t>*</w:t>
      </w:r>
      <w:r w:rsidRPr="002F6B74">
        <w:rPr>
          <w:rFonts w:ascii="宋体" w:eastAsia="宋体" w:hAnsi="宋体" w:cs="宋体"/>
          <w:b/>
          <w:color w:val="0070C0"/>
          <w:szCs w:val="21"/>
        </w:rPr>
        <w:t>, Jinjie Xia, Binxue Hong, Can Zhang, Li Zhao, Ping Yuan, Shan Jiang</w:t>
      </w:r>
    </w:p>
    <w:p w:rsidR="002F6B74" w:rsidRPr="002F6B74" w:rsidRDefault="002F6B74" w:rsidP="004B2F17">
      <w:pPr>
        <w:rPr>
          <w:rFonts w:ascii="宋体" w:eastAsia="宋体" w:hAnsi="宋体" w:cs="宋体"/>
          <w:b/>
          <w:color w:val="0070C0"/>
          <w:szCs w:val="21"/>
        </w:rPr>
      </w:pPr>
      <w:r w:rsidRPr="002F6B74">
        <w:rPr>
          <w:rFonts w:ascii="宋体" w:eastAsia="宋体" w:hAnsi="宋体" w:cs="宋体"/>
          <w:b/>
          <w:color w:val="0070C0"/>
          <w:szCs w:val="21"/>
        </w:rPr>
        <w:t>*Correspondence: Jincheng Huang</w:t>
      </w:r>
      <w:r w:rsidRPr="002F6B74">
        <w:rPr>
          <w:rFonts w:ascii="宋体" w:eastAsia="宋体" w:hAnsi="宋体" w:cs="宋体" w:hint="eastAsia"/>
          <w:b/>
          <w:color w:val="0070C0"/>
          <w:szCs w:val="21"/>
        </w:rPr>
        <w:t>，</w:t>
      </w:r>
      <w:r w:rsidRPr="002F6B74">
        <w:rPr>
          <w:rFonts w:ascii="宋体" w:eastAsia="宋体" w:hAnsi="宋体" w:cs="宋体"/>
          <w:b/>
          <w:color w:val="0070C0"/>
          <w:szCs w:val="21"/>
        </w:rPr>
        <w:t>115848445@qq.com</w:t>
      </w:r>
    </w:p>
    <w:p w:rsidR="002F6B74" w:rsidRDefault="002F6B74"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szCs w:val="21"/>
        </w:rPr>
        <w:t>Author information:</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(1)Chengdu Center for Disease Control and Prevention, Chengdu, Sichuan province,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610041, China. 115848445@qq.com.</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(2)Chengdu Center for Disease Control and Prevention, Chengdu, Sichuan province,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610041, China.</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(3)Department of Health Policy and Management, West China School of Public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Health, Sichuan University, Chengdu, Sichuan province, 610041, China.</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(4)Epidemiology and Health Statistics, West China School of Public Health,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Sichuan University, Chengdu, Sichuan province, 610041, China.</w:t>
      </w:r>
    </w:p>
    <w:p w:rsidR="004B2F17" w:rsidRPr="004B2F17" w:rsidRDefault="004B2F17"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9E4E5F">
        <w:rPr>
          <w:rFonts w:ascii="宋体" w:eastAsia="宋体" w:hAnsi="宋体" w:cs="宋体"/>
          <w:b/>
          <w:szCs w:val="21"/>
        </w:rPr>
        <w:t xml:space="preserve">OBJECTIVE: </w:t>
      </w:r>
      <w:r w:rsidRPr="004B2F17">
        <w:rPr>
          <w:rFonts w:ascii="宋体" w:eastAsia="宋体" w:hAnsi="宋体" w:cs="宋体"/>
          <w:szCs w:val="21"/>
        </w:rPr>
        <w:t xml:space="preserve">This study aims to evaluate the risk factors and prevalence of latent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tuberculosis infection (LTBI) in patients with rheumatic diseases.</w:t>
      </w:r>
    </w:p>
    <w:p w:rsidR="004B2F17" w:rsidRPr="004B2F17" w:rsidRDefault="004B2F17" w:rsidP="004B2F17">
      <w:pPr>
        <w:rPr>
          <w:rFonts w:ascii="宋体" w:eastAsia="宋体" w:hAnsi="宋体" w:cs="宋体"/>
          <w:szCs w:val="21"/>
        </w:rPr>
      </w:pPr>
      <w:r w:rsidRPr="009E4E5F">
        <w:rPr>
          <w:rFonts w:ascii="宋体" w:eastAsia="宋体" w:hAnsi="宋体" w:cs="宋体"/>
          <w:b/>
          <w:szCs w:val="21"/>
        </w:rPr>
        <w:t>METHODS:</w:t>
      </w:r>
      <w:r w:rsidRPr="004B2F17">
        <w:rPr>
          <w:rFonts w:ascii="宋体" w:eastAsia="宋体" w:hAnsi="宋体" w:cs="宋体"/>
          <w:szCs w:val="21"/>
        </w:rPr>
        <w:t xml:space="preserve"> Databases including PubMed, EMBASE, Web of Science, Cochrane Library,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CNKI, Vip, and Wanfang were searched. Data extraction was performed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independently by two authors. The Newcastle-Ottawa Scale (NOS) was utilized to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assess study quality. Heterogeneity was evaluated using I2 statistics and the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chi-square test. The relative risk (RR), odds ratio (OR) with 95% confidence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intervals (95% CI), and prevalence rate were calculated. Sensitivity analysis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was conducted using the leave-one-out method. Publication bias was assessed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using either the Begg rank correlation or Egger’s linear regression.</w:t>
      </w:r>
    </w:p>
    <w:p w:rsidR="004B2F17" w:rsidRPr="004B2F17" w:rsidRDefault="004B2F17" w:rsidP="004B2F17">
      <w:pPr>
        <w:rPr>
          <w:rFonts w:ascii="宋体" w:eastAsia="宋体" w:hAnsi="宋体" w:cs="宋体"/>
          <w:szCs w:val="21"/>
        </w:rPr>
      </w:pPr>
      <w:r w:rsidRPr="009E4E5F">
        <w:rPr>
          <w:rFonts w:ascii="宋体" w:eastAsia="宋体" w:hAnsi="宋体" w:cs="宋体"/>
          <w:b/>
          <w:szCs w:val="21"/>
        </w:rPr>
        <w:lastRenderedPageBreak/>
        <w:t>RESULTS:</w:t>
      </w:r>
      <w:r w:rsidRPr="004B2F17">
        <w:rPr>
          <w:rFonts w:ascii="宋体" w:eastAsia="宋体" w:hAnsi="宋体" w:cs="宋体"/>
          <w:szCs w:val="21"/>
        </w:rPr>
        <w:t xml:space="preserve"> Eighteen studies (13 cross-sectional and 5 cohort studies) involving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12,167 rheumatic patients were included. Increased risk of LTBI was associated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with current smoking (OR</w:t>
      </w:r>
      <w:r w:rsidRPr="004B2F17">
        <w:rPr>
          <w:rFonts w:ascii="MS Gothic" w:eastAsia="MS Gothic" w:hAnsi="MS Gothic" w:cs="MS Gothic" w:hint="eastAsia"/>
          <w:szCs w:val="21"/>
        </w:rPr>
        <w:t> </w:t>
      </w:r>
      <w:r w:rsidRPr="004B2F17">
        <w:rPr>
          <w:rFonts w:ascii="宋体" w:eastAsia="宋体" w:hAnsi="宋体" w:cs="宋体"/>
          <w:szCs w:val="21"/>
        </w:rPr>
        <w:t>=</w:t>
      </w:r>
      <w:r w:rsidRPr="004B2F17">
        <w:rPr>
          <w:rFonts w:ascii="MS Gothic" w:eastAsia="MS Gothic" w:hAnsi="MS Gothic" w:cs="MS Gothic" w:hint="eastAsia"/>
          <w:szCs w:val="21"/>
        </w:rPr>
        <w:t> </w:t>
      </w:r>
      <w:r w:rsidRPr="004B2F17">
        <w:rPr>
          <w:rFonts w:ascii="宋体" w:eastAsia="宋体" w:hAnsi="宋体" w:cs="宋体"/>
          <w:szCs w:val="21"/>
        </w:rPr>
        <w:t>1.50, 95%CI: 1.28</w:t>
      </w:r>
      <w:r w:rsidRPr="004B2F17">
        <w:rPr>
          <w:rFonts w:ascii="宋体" w:eastAsia="宋体" w:hAnsi="宋体" w:cs="宋体" w:hint="eastAsia"/>
          <w:szCs w:val="21"/>
        </w:rPr>
        <w:t>–</w:t>
      </w:r>
      <w:r w:rsidRPr="004B2F17">
        <w:rPr>
          <w:rFonts w:ascii="宋体" w:eastAsia="宋体" w:hAnsi="宋体" w:cs="宋体"/>
          <w:szCs w:val="21"/>
        </w:rPr>
        <w:t xml:space="preserve">1.78), Golimumab treatment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(OR</w:t>
      </w:r>
      <w:r w:rsidRPr="004B2F17">
        <w:rPr>
          <w:rFonts w:ascii="MS Gothic" w:eastAsia="MS Gothic" w:hAnsi="MS Gothic" w:cs="MS Gothic" w:hint="eastAsia"/>
          <w:szCs w:val="21"/>
        </w:rPr>
        <w:t> </w:t>
      </w:r>
      <w:r w:rsidRPr="004B2F17">
        <w:rPr>
          <w:rFonts w:ascii="宋体" w:eastAsia="宋体" w:hAnsi="宋体" w:cs="宋体"/>
          <w:szCs w:val="21"/>
        </w:rPr>
        <w:t>=</w:t>
      </w:r>
      <w:r w:rsidRPr="004B2F17">
        <w:rPr>
          <w:rFonts w:ascii="MS Gothic" w:eastAsia="MS Gothic" w:hAnsi="MS Gothic" w:cs="MS Gothic" w:hint="eastAsia"/>
          <w:szCs w:val="21"/>
        </w:rPr>
        <w:t> </w:t>
      </w:r>
      <w:r w:rsidRPr="004B2F17">
        <w:rPr>
          <w:rFonts w:ascii="宋体" w:eastAsia="宋体" w:hAnsi="宋体" w:cs="宋体"/>
          <w:szCs w:val="21"/>
        </w:rPr>
        <w:t>2.90, 95% CI: 1.08</w:t>
      </w:r>
      <w:r w:rsidRPr="004B2F17">
        <w:rPr>
          <w:rFonts w:ascii="宋体" w:eastAsia="宋体" w:hAnsi="宋体" w:cs="宋体" w:hint="eastAsia"/>
          <w:szCs w:val="21"/>
        </w:rPr>
        <w:t>–</w:t>
      </w:r>
      <w:r w:rsidRPr="004B2F17">
        <w:rPr>
          <w:rFonts w:ascii="宋体" w:eastAsia="宋体" w:hAnsi="宋体" w:cs="宋体"/>
          <w:szCs w:val="21"/>
        </w:rPr>
        <w:t>7.78), Chloroquine treatment ( OR</w:t>
      </w:r>
      <w:r w:rsidRPr="004B2F17">
        <w:rPr>
          <w:rFonts w:ascii="MS Gothic" w:eastAsia="MS Gothic" w:hAnsi="MS Gothic" w:cs="MS Gothic" w:hint="eastAsia"/>
          <w:szCs w:val="21"/>
        </w:rPr>
        <w:t> </w:t>
      </w:r>
      <w:r w:rsidRPr="004B2F17">
        <w:rPr>
          <w:rFonts w:ascii="宋体" w:eastAsia="宋体" w:hAnsi="宋体" w:cs="宋体"/>
          <w:szCs w:val="21"/>
        </w:rPr>
        <w:t>=</w:t>
      </w:r>
      <w:r w:rsidRPr="004B2F17">
        <w:rPr>
          <w:rFonts w:ascii="MS Gothic" w:eastAsia="MS Gothic" w:hAnsi="MS Gothic" w:cs="MS Gothic" w:hint="eastAsia"/>
          <w:szCs w:val="21"/>
        </w:rPr>
        <w:t> </w:t>
      </w:r>
      <w:r w:rsidRPr="004B2F17">
        <w:rPr>
          <w:rFonts w:ascii="宋体" w:eastAsia="宋体" w:hAnsi="宋体" w:cs="宋体"/>
          <w:szCs w:val="21"/>
        </w:rPr>
        <w:t xml:space="preserve">1.27, 95%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CI:1.01–1.61), age</w:t>
      </w:r>
      <w:r w:rsidRPr="004B2F17">
        <w:rPr>
          <w:rFonts w:ascii="MS Gothic" w:eastAsia="MS Gothic" w:hAnsi="MS Gothic" w:cs="MS Gothic" w:hint="eastAsia"/>
          <w:szCs w:val="21"/>
        </w:rPr>
        <w:t> </w:t>
      </w:r>
      <w:r w:rsidRPr="004B2F17">
        <w:rPr>
          <w:rFonts w:ascii="宋体" w:eastAsia="宋体" w:hAnsi="宋体" w:cs="宋体"/>
          <w:szCs w:val="21"/>
        </w:rPr>
        <w:t>&gt;</w:t>
      </w:r>
      <w:r w:rsidRPr="004B2F17">
        <w:rPr>
          <w:rFonts w:ascii="MS Gothic" w:eastAsia="MS Gothic" w:hAnsi="MS Gothic" w:cs="MS Gothic" w:hint="eastAsia"/>
          <w:szCs w:val="21"/>
        </w:rPr>
        <w:t> </w:t>
      </w:r>
      <w:r w:rsidRPr="004B2F17">
        <w:rPr>
          <w:rFonts w:ascii="宋体" w:eastAsia="宋体" w:hAnsi="宋体" w:cs="宋体"/>
          <w:szCs w:val="21"/>
        </w:rPr>
        <w:t>40 (OR</w:t>
      </w:r>
      <w:r w:rsidRPr="004B2F17">
        <w:rPr>
          <w:rFonts w:ascii="MS Gothic" w:eastAsia="MS Gothic" w:hAnsi="MS Gothic" w:cs="MS Gothic" w:hint="eastAsia"/>
          <w:szCs w:val="21"/>
        </w:rPr>
        <w:t> </w:t>
      </w:r>
      <w:r w:rsidRPr="004B2F17">
        <w:rPr>
          <w:rFonts w:ascii="宋体" w:eastAsia="宋体" w:hAnsi="宋体" w:cs="宋体"/>
          <w:szCs w:val="21"/>
        </w:rPr>
        <w:t>=</w:t>
      </w:r>
      <w:r w:rsidRPr="004B2F17">
        <w:rPr>
          <w:rFonts w:ascii="MS Gothic" w:eastAsia="MS Gothic" w:hAnsi="MS Gothic" w:cs="MS Gothic" w:hint="eastAsia"/>
          <w:szCs w:val="21"/>
        </w:rPr>
        <w:t> </w:t>
      </w:r>
      <w:r w:rsidRPr="004B2F17">
        <w:rPr>
          <w:rFonts w:ascii="宋体" w:eastAsia="宋体" w:hAnsi="宋体" w:cs="宋体"/>
          <w:szCs w:val="21"/>
        </w:rPr>
        <w:t>1.84, 95% CI: 1.51</w:t>
      </w:r>
      <w:r w:rsidRPr="004B2F17">
        <w:rPr>
          <w:rFonts w:ascii="宋体" w:eastAsia="宋体" w:hAnsi="宋体" w:cs="宋体" w:hint="eastAsia"/>
          <w:szCs w:val="21"/>
        </w:rPr>
        <w:t>–</w:t>
      </w:r>
      <w:r w:rsidRPr="004B2F17">
        <w:rPr>
          <w:rFonts w:ascii="宋体" w:eastAsia="宋体" w:hAnsi="宋体" w:cs="宋体"/>
          <w:szCs w:val="21"/>
        </w:rPr>
        <w:t xml:space="preserve">2.24) and a history of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tuberculosis (TB) ( OR</w:t>
      </w:r>
      <w:r w:rsidRPr="004B2F17">
        <w:rPr>
          <w:rFonts w:ascii="MS Gothic" w:eastAsia="MS Gothic" w:hAnsi="MS Gothic" w:cs="MS Gothic" w:hint="eastAsia"/>
          <w:szCs w:val="21"/>
        </w:rPr>
        <w:t> </w:t>
      </w:r>
      <w:r w:rsidRPr="004B2F17">
        <w:rPr>
          <w:rFonts w:ascii="宋体" w:eastAsia="宋体" w:hAnsi="宋体" w:cs="宋体"/>
          <w:szCs w:val="21"/>
        </w:rPr>
        <w:t>=</w:t>
      </w:r>
      <w:r w:rsidRPr="004B2F17">
        <w:rPr>
          <w:rFonts w:ascii="MS Gothic" w:eastAsia="MS Gothic" w:hAnsi="MS Gothic" w:cs="MS Gothic" w:hint="eastAsia"/>
          <w:szCs w:val="21"/>
        </w:rPr>
        <w:t> </w:t>
      </w:r>
      <w:r w:rsidRPr="004B2F17">
        <w:rPr>
          <w:rFonts w:ascii="宋体" w:eastAsia="宋体" w:hAnsi="宋体" w:cs="宋体"/>
          <w:szCs w:val="21"/>
        </w:rPr>
        <w:t>3.26, 95% CI: 1.87</w:t>
      </w:r>
      <w:r w:rsidRPr="004B2F17">
        <w:rPr>
          <w:rFonts w:ascii="宋体" w:eastAsia="宋体" w:hAnsi="宋体" w:cs="宋体" w:hint="eastAsia"/>
          <w:szCs w:val="21"/>
        </w:rPr>
        <w:t>–</w:t>
      </w:r>
      <w:r w:rsidRPr="004B2F17">
        <w:rPr>
          <w:rFonts w:ascii="宋体" w:eastAsia="宋体" w:hAnsi="宋体" w:cs="宋体"/>
          <w:szCs w:val="21"/>
        </w:rPr>
        <w:t xml:space="preserve">5.68). Additionally, male rheumatic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patients had a higher risk of LTBI compared to females (OR</w:t>
      </w:r>
      <w:r w:rsidRPr="004B2F17">
        <w:rPr>
          <w:rFonts w:ascii="MS Gothic" w:eastAsia="MS Gothic" w:hAnsi="MS Gothic" w:cs="MS Gothic" w:hint="eastAsia"/>
          <w:szCs w:val="21"/>
        </w:rPr>
        <w:t> </w:t>
      </w:r>
      <w:r w:rsidRPr="004B2F17">
        <w:rPr>
          <w:rFonts w:ascii="宋体" w:eastAsia="宋体" w:hAnsi="宋体" w:cs="宋体"/>
          <w:szCs w:val="21"/>
        </w:rPr>
        <w:t>= 1.72, 95% CI: 1.46</w:t>
      </w:r>
      <w:r w:rsidRPr="004B2F17">
        <w:rPr>
          <w:rFonts w:ascii="宋体" w:eastAsia="宋体" w:hAnsi="宋体" w:cs="宋体" w:hint="eastAsia"/>
          <w:szCs w:val="21"/>
        </w:rPr>
        <w:t>–</w:t>
      </w:r>
      <w:r w:rsidRPr="004B2F17">
        <w:rPr>
          <w:rFonts w:ascii="宋体" w:eastAsia="宋体" w:hAnsi="宋体" w:cs="宋体"/>
          <w:szCs w:val="21"/>
        </w:rPr>
        <w:t xml:space="preserve">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2.02). However, no significant associations were found between LTBI risk and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history of smoking, duration of disease, history of Bacillus Calmette-Guérin,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positive rheumatoid factor, corticosteroid use, diabetes history, TB exposure,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Adalimumab or Etanercept use. The pooled prevalence rate of LTBI in rheumatic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patients was 22% (95% CI: 18–27%).</w:t>
      </w:r>
    </w:p>
    <w:p w:rsidR="004B2F17" w:rsidRPr="004B2F17" w:rsidRDefault="004B2F17" w:rsidP="004B2F17">
      <w:pPr>
        <w:rPr>
          <w:rFonts w:ascii="宋体" w:eastAsia="宋体" w:hAnsi="宋体" w:cs="宋体"/>
          <w:szCs w:val="21"/>
        </w:rPr>
      </w:pPr>
      <w:r w:rsidRPr="009E4E5F">
        <w:rPr>
          <w:rFonts w:ascii="宋体" w:eastAsia="宋体" w:hAnsi="宋体" w:cs="宋体"/>
          <w:b/>
          <w:szCs w:val="21"/>
        </w:rPr>
        <w:t>CONCLUSIONS:</w:t>
      </w:r>
      <w:r w:rsidRPr="004B2F17">
        <w:rPr>
          <w:rFonts w:ascii="宋体" w:eastAsia="宋体" w:hAnsi="宋体" w:cs="宋体"/>
          <w:szCs w:val="21"/>
        </w:rPr>
        <w:t xml:space="preserve"> Current smoking, Golimumab treatment, Chloroquine treatment, age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&gt;40 and a history of TB are identified as risk factors for LTBI in rheumatic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patients. Male patients are more prone to developing LTBI. The overall LTBI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prevalence in rheumatic patients is high.</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SUPPLEMENTARY INFORMATION: The online version contains supplementary material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available at 10.1186/s12879-025-11460-x.</w:t>
      </w:r>
    </w:p>
    <w:p w:rsidR="004B2F17" w:rsidRPr="004B2F17" w:rsidRDefault="004B2F17"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szCs w:val="21"/>
        </w:rPr>
        <w:t>DOI: 10.1186/s12879-025-11460-x</w:t>
      </w:r>
    </w:p>
    <w:p w:rsidR="004B2F17" w:rsidRPr="004B2F17" w:rsidRDefault="004B2F17" w:rsidP="004B2F17">
      <w:pPr>
        <w:rPr>
          <w:rFonts w:ascii="宋体" w:eastAsia="宋体" w:hAnsi="宋体" w:cs="宋体"/>
          <w:szCs w:val="21"/>
        </w:rPr>
      </w:pPr>
      <w:r w:rsidRPr="004B2F17">
        <w:rPr>
          <w:rFonts w:ascii="宋体" w:eastAsia="宋体" w:hAnsi="宋体" w:cs="宋体"/>
          <w:szCs w:val="21"/>
        </w:rPr>
        <w:t>PMCID: PMC12403398</w:t>
      </w:r>
    </w:p>
    <w:p w:rsidR="004B2F17" w:rsidRPr="004B2F17" w:rsidRDefault="004B2F17" w:rsidP="004B2F17">
      <w:pPr>
        <w:rPr>
          <w:rFonts w:ascii="宋体" w:eastAsia="宋体" w:hAnsi="宋体" w:cs="宋体"/>
          <w:szCs w:val="21"/>
        </w:rPr>
      </w:pPr>
      <w:r w:rsidRPr="004B2F17">
        <w:rPr>
          <w:rFonts w:ascii="宋体" w:eastAsia="宋体" w:hAnsi="宋体" w:cs="宋体"/>
          <w:szCs w:val="21"/>
        </w:rPr>
        <w:t>PMID: 40898127</w:t>
      </w:r>
    </w:p>
    <w:p w:rsidR="004B2F17" w:rsidRPr="004B2F17" w:rsidRDefault="004B2F17" w:rsidP="004B2F17">
      <w:pPr>
        <w:rPr>
          <w:rFonts w:ascii="宋体" w:eastAsia="宋体" w:hAnsi="宋体" w:cs="宋体"/>
          <w:szCs w:val="21"/>
        </w:rPr>
      </w:pPr>
    </w:p>
    <w:p w:rsidR="004B2F17" w:rsidRPr="009E4E5F" w:rsidRDefault="007844B7" w:rsidP="004B2F17">
      <w:pPr>
        <w:rPr>
          <w:rFonts w:ascii="宋体" w:eastAsia="宋体" w:hAnsi="宋体" w:cs="宋体"/>
          <w:b/>
          <w:color w:val="FF0000"/>
          <w:szCs w:val="21"/>
        </w:rPr>
      </w:pPr>
      <w:r>
        <w:rPr>
          <w:rFonts w:ascii="宋体" w:eastAsia="宋体" w:hAnsi="宋体" w:cs="宋体"/>
          <w:b/>
          <w:color w:val="FF0000"/>
          <w:szCs w:val="21"/>
        </w:rPr>
        <w:t>11</w:t>
      </w:r>
      <w:r w:rsidR="004B2F17" w:rsidRPr="009E4E5F">
        <w:rPr>
          <w:rFonts w:ascii="宋体" w:eastAsia="宋体" w:hAnsi="宋体" w:cs="宋体"/>
          <w:b/>
          <w:color w:val="FF0000"/>
          <w:szCs w:val="21"/>
        </w:rPr>
        <w:t>. BMJ Open. 2025 Sep 2;15(9):e103676. doi: 10.1136/bmjopen-2025-103676.</w:t>
      </w:r>
    </w:p>
    <w:p w:rsidR="004B2F17" w:rsidRPr="004B2F17" w:rsidRDefault="004B2F17"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Diagnostic accuracy of nanopore sequencing for the rapid diagnosis of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extrapulmonary tuberculosis: a protocol for a systematic review and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meta-analysis.</w:t>
      </w:r>
    </w:p>
    <w:p w:rsidR="004B2F17" w:rsidRPr="004B2F17" w:rsidRDefault="004B2F17"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szCs w:val="21"/>
        </w:rPr>
        <w:t>Yu G(#)(1), Xu X(2), Shen Y(2), Ling Y(#)(3).</w:t>
      </w:r>
    </w:p>
    <w:p w:rsidR="004B2F17" w:rsidRDefault="004B2F17" w:rsidP="004B2F17">
      <w:pPr>
        <w:rPr>
          <w:rFonts w:ascii="宋体" w:eastAsia="宋体" w:hAnsi="宋体" w:cs="宋体"/>
          <w:szCs w:val="21"/>
        </w:rPr>
      </w:pPr>
    </w:p>
    <w:p w:rsidR="0086797A" w:rsidRPr="0086797A" w:rsidRDefault="0086797A" w:rsidP="004B2F17">
      <w:pPr>
        <w:rPr>
          <w:rFonts w:ascii="宋体" w:eastAsia="宋体" w:hAnsi="宋体" w:cs="宋体"/>
          <w:b/>
          <w:color w:val="0070C0"/>
          <w:szCs w:val="21"/>
        </w:rPr>
      </w:pPr>
      <w:r w:rsidRPr="0086797A">
        <w:rPr>
          <w:rFonts w:ascii="宋体" w:eastAsia="宋体" w:hAnsi="宋体" w:cs="宋体"/>
          <w:b/>
          <w:color w:val="0070C0"/>
          <w:szCs w:val="21"/>
        </w:rPr>
        <w:t>Guocan Yu</w:t>
      </w:r>
      <w:r w:rsidRPr="0086797A">
        <w:rPr>
          <w:rFonts w:ascii="宋体" w:eastAsia="宋体" w:hAnsi="宋体" w:cs="宋体" w:hint="eastAsia"/>
          <w:b/>
          <w:color w:val="0070C0"/>
          <w:szCs w:val="21"/>
        </w:rPr>
        <w:t>*</w:t>
      </w:r>
      <w:r w:rsidRPr="0086797A">
        <w:rPr>
          <w:rFonts w:ascii="宋体" w:eastAsia="宋体" w:hAnsi="宋体" w:cs="宋体"/>
          <w:b/>
          <w:color w:val="0070C0"/>
          <w:szCs w:val="21"/>
        </w:rPr>
        <w:t>, Xudong Xu, Yanqin Shen, Yuyang Ling</w:t>
      </w:r>
    </w:p>
    <w:p w:rsidR="0086797A" w:rsidRPr="0086797A" w:rsidRDefault="0086797A" w:rsidP="004B2F17">
      <w:pPr>
        <w:rPr>
          <w:rFonts w:ascii="宋体" w:eastAsia="宋体" w:hAnsi="宋体" w:cs="宋体"/>
          <w:b/>
          <w:color w:val="0070C0"/>
          <w:szCs w:val="21"/>
        </w:rPr>
      </w:pPr>
      <w:r w:rsidRPr="0086797A">
        <w:rPr>
          <w:rFonts w:ascii="宋体" w:eastAsia="宋体" w:hAnsi="宋体" w:cs="宋体" w:hint="eastAsia"/>
          <w:b/>
          <w:color w:val="0070C0"/>
          <w:szCs w:val="21"/>
        </w:rPr>
        <w:t>*</w:t>
      </w:r>
      <w:r w:rsidRPr="0086797A">
        <w:rPr>
          <w:rFonts w:ascii="宋体" w:eastAsia="宋体" w:hAnsi="宋体" w:cs="宋体"/>
          <w:b/>
          <w:color w:val="0070C0"/>
          <w:szCs w:val="21"/>
        </w:rPr>
        <w:t>Correspondence to Dr Guocan Yu; dabaitwo@163.com</w:t>
      </w:r>
    </w:p>
    <w:p w:rsidR="0086797A" w:rsidRDefault="0086797A"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szCs w:val="21"/>
        </w:rPr>
        <w:t>Author information:</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(1)Tuberculosis Diagnosis and Treatment Center of Zhejiang Province, Hangzhou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Red Cross Hospital, Hangzhou, Zhejiang, China dabaitwo@163.com.</w:t>
      </w:r>
    </w:p>
    <w:p w:rsidR="004B2F17" w:rsidRPr="004B2F17" w:rsidRDefault="004B2F17" w:rsidP="004B2F17">
      <w:pPr>
        <w:rPr>
          <w:rFonts w:ascii="宋体" w:eastAsia="宋体" w:hAnsi="宋体" w:cs="宋体"/>
          <w:szCs w:val="21"/>
        </w:rPr>
      </w:pPr>
      <w:r w:rsidRPr="004B2F17">
        <w:rPr>
          <w:rFonts w:ascii="宋体" w:eastAsia="宋体" w:hAnsi="宋体" w:cs="宋体"/>
          <w:szCs w:val="21"/>
        </w:rPr>
        <w:t>(2)Hangzhou Red Cross Hospital, Hangzhou, Zhejiang, China.</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(3)The Second School of Clinical Medicine, Zhejiang Chinese Medical University,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Hangzhou, Zhejiang, China.</w:t>
      </w:r>
    </w:p>
    <w:p w:rsidR="004B2F17" w:rsidRPr="004B2F17" w:rsidRDefault="004B2F17" w:rsidP="004B2F17">
      <w:pPr>
        <w:rPr>
          <w:rFonts w:ascii="宋体" w:eastAsia="宋体" w:hAnsi="宋体" w:cs="宋体"/>
          <w:szCs w:val="21"/>
        </w:rPr>
      </w:pPr>
      <w:r w:rsidRPr="004B2F17">
        <w:rPr>
          <w:rFonts w:ascii="宋体" w:eastAsia="宋体" w:hAnsi="宋体" w:cs="宋体"/>
          <w:szCs w:val="21"/>
        </w:rPr>
        <w:t>(#)Contributed equally</w:t>
      </w:r>
    </w:p>
    <w:p w:rsidR="004B2F17" w:rsidRPr="004B2F17" w:rsidRDefault="004B2F17"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9E4E5F">
        <w:rPr>
          <w:rFonts w:ascii="宋体" w:eastAsia="宋体" w:hAnsi="宋体" w:cs="宋体"/>
          <w:b/>
          <w:szCs w:val="21"/>
        </w:rPr>
        <w:t>BACKGROUND:</w:t>
      </w:r>
      <w:r w:rsidRPr="004B2F17">
        <w:rPr>
          <w:rFonts w:ascii="宋体" w:eastAsia="宋体" w:hAnsi="宋体" w:cs="宋体"/>
          <w:szCs w:val="21"/>
        </w:rPr>
        <w:t xml:space="preserve"> Extrapulmonary tuberculosis (EPTB) is a serious type of tuberculosis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(TB) which can cause systemic clinical manifestations. Rapid diagnosis of EPTB </w:t>
      </w:r>
    </w:p>
    <w:p w:rsidR="004B2F17" w:rsidRPr="004B2F17" w:rsidRDefault="004B2F17" w:rsidP="004B2F17">
      <w:pPr>
        <w:rPr>
          <w:rFonts w:ascii="宋体" w:eastAsia="宋体" w:hAnsi="宋体" w:cs="宋体"/>
          <w:szCs w:val="21"/>
        </w:rPr>
      </w:pPr>
      <w:r w:rsidRPr="004B2F17">
        <w:rPr>
          <w:rFonts w:ascii="宋体" w:eastAsia="宋体" w:hAnsi="宋体" w:cs="宋体"/>
          <w:szCs w:val="21"/>
        </w:rPr>
        <w:lastRenderedPageBreak/>
        <w:t xml:space="preserve">for intervention is of great importance. Nanopore sequencing as a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third-generation gene sequencing method is a new kind of rapid TB detection.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Previous studies have shown that nanopore sequencing has higher diagnostic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sensitivity and specificity for TB diagnosis compared with other diagnostic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methods. The aim of this research is to develop a systematic review and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meta-analysis protocol for assessing the accuracy of nanopore sequencing in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diagnosing EPTB.</w:t>
      </w:r>
    </w:p>
    <w:p w:rsidR="004B2F17" w:rsidRPr="004B2F17" w:rsidRDefault="004B2F17" w:rsidP="004B2F17">
      <w:pPr>
        <w:rPr>
          <w:rFonts w:ascii="宋体" w:eastAsia="宋体" w:hAnsi="宋体" w:cs="宋体"/>
          <w:szCs w:val="21"/>
        </w:rPr>
      </w:pPr>
      <w:r w:rsidRPr="009E4E5F">
        <w:rPr>
          <w:rFonts w:ascii="宋体" w:eastAsia="宋体" w:hAnsi="宋体" w:cs="宋体"/>
          <w:b/>
          <w:szCs w:val="21"/>
        </w:rPr>
        <w:t>METHODS AND ANALYSIS:</w:t>
      </w:r>
      <w:r w:rsidRPr="004B2F17">
        <w:rPr>
          <w:rFonts w:ascii="宋体" w:eastAsia="宋体" w:hAnsi="宋体" w:cs="宋体"/>
          <w:szCs w:val="21"/>
        </w:rPr>
        <w:t xml:space="preserve"> This protocol was conducted in strict adherence to the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Preferred Reporting Items for Systematic Reviews and Meta-analysis Protocols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guidelines. The study protocol has been prospectively registered with the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International Prospective Register of Systematic Reviews under the unique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identifier CRD42024608415. We will search Chinese databases and English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databases in June 2026. Chinese databases will include Wanfang database, China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National Knowledge Infrastructure. English databases will include PubMed, EMBASE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and the Cochrane Library. Adhering strictly to the reference standard outlined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in this protocol, we will screen the literature. The Quality Assessment of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Diagnostic Accuracy Studies will be used by us to assess the methodological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quality of the included studies. The statistical tools used are Stata with midas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commands and RevMan, and we will perform meta-analysis, generate forest plots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and Summary Receiver Operating Characteristic curves. A p value of less than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0.05 will be considered statistically significant. If significant heterogeneity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exists and there is a sufficient number of studies, we will investigate its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source through subgroup analysis and meta-regression.</w:t>
      </w:r>
    </w:p>
    <w:p w:rsidR="004B2F17" w:rsidRPr="004B2F17" w:rsidRDefault="004B2F17" w:rsidP="004B2F17">
      <w:pPr>
        <w:rPr>
          <w:rFonts w:ascii="宋体" w:eastAsia="宋体" w:hAnsi="宋体" w:cs="宋体"/>
          <w:szCs w:val="21"/>
        </w:rPr>
      </w:pPr>
      <w:r w:rsidRPr="009E4E5F">
        <w:rPr>
          <w:rFonts w:ascii="宋体" w:eastAsia="宋体" w:hAnsi="宋体" w:cs="宋体"/>
          <w:b/>
          <w:szCs w:val="21"/>
        </w:rPr>
        <w:t>ETHICS AND DISSEMINATION:</w:t>
      </w:r>
      <w:r w:rsidRPr="004B2F17">
        <w:rPr>
          <w:rFonts w:ascii="宋体" w:eastAsia="宋体" w:hAnsi="宋体" w:cs="宋体"/>
          <w:szCs w:val="21"/>
        </w:rPr>
        <w:t xml:space="preserve"> This investigation uses publicly accessible data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repositories, exempting it from ethical review board approval requirements. On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finalisation of the analysis, findings will be prepared for dissemination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through submission to a reputable medical journal employing rigorous peer review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processes. The study methodology adheres to established protocols for systematic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review and meta-analysis.</w:t>
      </w:r>
    </w:p>
    <w:p w:rsidR="004B2F17" w:rsidRPr="004B2F17" w:rsidRDefault="004B2F17" w:rsidP="004B2F17">
      <w:pPr>
        <w:rPr>
          <w:rFonts w:ascii="宋体" w:eastAsia="宋体" w:hAnsi="宋体" w:cs="宋体"/>
          <w:szCs w:val="21"/>
        </w:rPr>
      </w:pPr>
      <w:r w:rsidRPr="004B2F17">
        <w:rPr>
          <w:rFonts w:ascii="宋体" w:eastAsia="宋体" w:hAnsi="宋体" w:cs="宋体"/>
          <w:szCs w:val="21"/>
        </w:rPr>
        <w:t>PROSPERO REGISTRATION NUMBER: CRD42024608415.</w:t>
      </w:r>
    </w:p>
    <w:p w:rsidR="004B2F17" w:rsidRPr="004B2F17" w:rsidRDefault="004B2F17"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hint="eastAsia"/>
          <w:szCs w:val="21"/>
        </w:rPr>
        <w:t>©</w:t>
      </w:r>
      <w:r w:rsidRPr="004B2F17">
        <w:rPr>
          <w:rFonts w:ascii="宋体" w:eastAsia="宋体" w:hAnsi="宋体" w:cs="宋体"/>
          <w:szCs w:val="21"/>
        </w:rPr>
        <w:t xml:space="preserve"> Author(s) (or their employer(s)) 2025. Re-use permitted under CC BY-NC. No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commercial re-use. See rights and permissions. Published by BMJ Group.</w:t>
      </w:r>
    </w:p>
    <w:p w:rsidR="004B2F17" w:rsidRPr="004B2F17" w:rsidRDefault="004B2F17"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szCs w:val="21"/>
        </w:rPr>
        <w:t>DOI: 10.1136/bmjopen-2025-103676</w:t>
      </w:r>
    </w:p>
    <w:p w:rsidR="004B2F17" w:rsidRPr="004B2F17" w:rsidRDefault="004B2F17" w:rsidP="004B2F17">
      <w:pPr>
        <w:rPr>
          <w:rFonts w:ascii="宋体" w:eastAsia="宋体" w:hAnsi="宋体" w:cs="宋体"/>
          <w:szCs w:val="21"/>
        </w:rPr>
      </w:pPr>
      <w:r w:rsidRPr="004B2F17">
        <w:rPr>
          <w:rFonts w:ascii="宋体" w:eastAsia="宋体" w:hAnsi="宋体" w:cs="宋体"/>
          <w:szCs w:val="21"/>
        </w:rPr>
        <w:t>PMCID: PMC12406828</w:t>
      </w:r>
    </w:p>
    <w:p w:rsidR="004B2F17" w:rsidRPr="004B2F17" w:rsidRDefault="004B2F17" w:rsidP="004B2F17">
      <w:pPr>
        <w:rPr>
          <w:rFonts w:ascii="宋体" w:eastAsia="宋体" w:hAnsi="宋体" w:cs="宋体"/>
          <w:szCs w:val="21"/>
        </w:rPr>
      </w:pPr>
      <w:r w:rsidRPr="004B2F17">
        <w:rPr>
          <w:rFonts w:ascii="宋体" w:eastAsia="宋体" w:hAnsi="宋体" w:cs="宋体"/>
          <w:szCs w:val="21"/>
        </w:rPr>
        <w:t>PMID:</w:t>
      </w:r>
      <w:r w:rsidR="009E4E5F">
        <w:rPr>
          <w:rFonts w:ascii="宋体" w:eastAsia="宋体" w:hAnsi="宋体" w:cs="宋体"/>
          <w:szCs w:val="21"/>
        </w:rPr>
        <w:t xml:space="preserve"> 40897494 [Indexed for MEDLINE]</w:t>
      </w:r>
    </w:p>
    <w:p w:rsidR="004B2F17" w:rsidRPr="004B2F17" w:rsidRDefault="004B2F17" w:rsidP="004B2F17">
      <w:pPr>
        <w:rPr>
          <w:rFonts w:ascii="宋体" w:eastAsia="宋体" w:hAnsi="宋体" w:cs="宋体"/>
          <w:szCs w:val="21"/>
        </w:rPr>
      </w:pPr>
    </w:p>
    <w:p w:rsidR="004B2F17" w:rsidRPr="009E4E5F" w:rsidRDefault="004B2F17" w:rsidP="004B2F17">
      <w:pPr>
        <w:rPr>
          <w:rFonts w:ascii="宋体" w:eastAsia="宋体" w:hAnsi="宋体" w:cs="宋体"/>
          <w:b/>
          <w:color w:val="FF0000"/>
          <w:szCs w:val="21"/>
        </w:rPr>
      </w:pPr>
      <w:r w:rsidRPr="009E4E5F">
        <w:rPr>
          <w:rFonts w:ascii="宋体" w:eastAsia="宋体" w:hAnsi="宋体" w:cs="宋体"/>
          <w:b/>
          <w:color w:val="FF0000"/>
          <w:szCs w:val="21"/>
        </w:rPr>
        <w:t>1</w:t>
      </w:r>
      <w:r w:rsidR="007844B7">
        <w:rPr>
          <w:rFonts w:ascii="宋体" w:eastAsia="宋体" w:hAnsi="宋体" w:cs="宋体"/>
          <w:b/>
          <w:color w:val="FF0000"/>
          <w:szCs w:val="21"/>
        </w:rPr>
        <w:t>2</w:t>
      </w:r>
      <w:r w:rsidRPr="009E4E5F">
        <w:rPr>
          <w:rFonts w:ascii="宋体" w:eastAsia="宋体" w:hAnsi="宋体" w:cs="宋体"/>
          <w:b/>
          <w:color w:val="FF0000"/>
          <w:szCs w:val="21"/>
        </w:rPr>
        <w:t>. BMC Infect Dis. 2025 Sep 1;25(1):1086. doi: 10.1186/s12879-025-11491-4.</w:t>
      </w:r>
    </w:p>
    <w:p w:rsidR="004B2F17" w:rsidRPr="004B2F17" w:rsidRDefault="004B2F17"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Treatment outcomes and associated influencing factors among elderly patients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with rifampicin-resistant tuberculosis: a multicenter, retrospective, cohort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study in China.</w:t>
      </w:r>
    </w:p>
    <w:p w:rsidR="004B2F17" w:rsidRPr="004B2F17" w:rsidRDefault="004B2F17"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szCs w:val="21"/>
        </w:rPr>
        <w:lastRenderedPageBreak/>
        <w:t xml:space="preserve">Liu H(#)(1), Zou L(#)(2), Yu J(#)(3), Zhu Q(#)(4), Yang S(#)(5), Kang W(1), Ma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J(1), Chen Q(2), Shi Z(2), Tang X(2), Liang L(2), Tang P(6), Pan Q(7), Guo C(8),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Du J(9), Chang Z(10), Guo Z(2), Wu G(11), Tang S(12).</w:t>
      </w:r>
    </w:p>
    <w:p w:rsidR="004B2F17" w:rsidRDefault="004B2F17" w:rsidP="004B2F17">
      <w:pPr>
        <w:rPr>
          <w:rFonts w:ascii="宋体" w:eastAsia="宋体" w:hAnsi="宋体" w:cs="宋体"/>
          <w:szCs w:val="21"/>
        </w:rPr>
      </w:pPr>
    </w:p>
    <w:p w:rsidR="000C19E6" w:rsidRPr="000C19E6" w:rsidRDefault="000C19E6" w:rsidP="004B2F17">
      <w:pPr>
        <w:rPr>
          <w:rFonts w:ascii="宋体" w:eastAsia="宋体" w:hAnsi="宋体" w:cs="宋体"/>
          <w:b/>
          <w:color w:val="0070C0"/>
          <w:szCs w:val="21"/>
        </w:rPr>
      </w:pPr>
      <w:r w:rsidRPr="000C19E6">
        <w:rPr>
          <w:rFonts w:ascii="宋体" w:eastAsia="宋体" w:hAnsi="宋体" w:cs="宋体"/>
          <w:b/>
          <w:color w:val="0070C0"/>
          <w:szCs w:val="21"/>
        </w:rPr>
        <w:t>Huicong Liu, Liping Zou, JiaJia Yu, Qingdong Zhu, Song Yang, Wanli Kang, Jiaojie Ma, Qing Chen, Zhengyu Shi, Xianzhen Tang, Li Liang, Peijun Tang, Qing Pan, Chunhui Guo, Juan Du, Zhanlin Chang, Zhouli Guo, Guihui Wu</w:t>
      </w:r>
      <w:r w:rsidRPr="000C19E6">
        <w:rPr>
          <w:rFonts w:ascii="宋体" w:eastAsia="宋体" w:hAnsi="宋体" w:cs="宋体" w:hint="eastAsia"/>
          <w:b/>
          <w:color w:val="0070C0"/>
          <w:szCs w:val="21"/>
        </w:rPr>
        <w:t>*</w:t>
      </w:r>
      <w:r w:rsidRPr="000C19E6">
        <w:rPr>
          <w:rFonts w:ascii="宋体" w:eastAsia="宋体" w:hAnsi="宋体" w:cs="宋体"/>
          <w:b/>
          <w:color w:val="0070C0"/>
          <w:szCs w:val="21"/>
        </w:rPr>
        <w:t>, Shenjie Tang</w:t>
      </w:r>
      <w:r w:rsidRPr="000C19E6">
        <w:rPr>
          <w:rFonts w:ascii="宋体" w:eastAsia="宋体" w:hAnsi="宋体" w:cs="宋体" w:hint="eastAsia"/>
          <w:b/>
          <w:color w:val="0070C0"/>
          <w:szCs w:val="21"/>
        </w:rPr>
        <w:t>*</w:t>
      </w:r>
    </w:p>
    <w:p w:rsidR="000C19E6" w:rsidRPr="000C19E6" w:rsidRDefault="000C19E6" w:rsidP="000C19E6">
      <w:pPr>
        <w:jc w:val="left"/>
        <w:rPr>
          <w:rFonts w:ascii="宋体" w:eastAsia="宋体" w:hAnsi="宋体" w:cs="宋体"/>
          <w:b/>
          <w:color w:val="0070C0"/>
          <w:szCs w:val="21"/>
        </w:rPr>
      </w:pPr>
      <w:r w:rsidRPr="000C19E6">
        <w:rPr>
          <w:rFonts w:ascii="宋体" w:eastAsia="宋体" w:hAnsi="宋体" w:cs="宋体"/>
          <w:b/>
          <w:color w:val="0070C0"/>
          <w:szCs w:val="21"/>
        </w:rPr>
        <w:t>*Correspondence: Guihui Wu</w:t>
      </w:r>
      <w:r w:rsidRPr="000C19E6">
        <w:rPr>
          <w:rFonts w:ascii="宋体" w:eastAsia="宋体" w:hAnsi="宋体" w:cs="宋体" w:hint="eastAsia"/>
          <w:b/>
          <w:color w:val="0070C0"/>
          <w:szCs w:val="21"/>
        </w:rPr>
        <w:t>，</w:t>
      </w:r>
      <w:r w:rsidRPr="000C19E6">
        <w:rPr>
          <w:rFonts w:ascii="宋体" w:eastAsia="宋体" w:hAnsi="宋体" w:cs="宋体"/>
          <w:b/>
          <w:color w:val="0070C0"/>
          <w:szCs w:val="21"/>
        </w:rPr>
        <w:t xml:space="preserve">wghwgh2584@sina.com </w:t>
      </w:r>
      <w:r w:rsidRPr="000C19E6">
        <w:rPr>
          <w:rFonts w:ascii="宋体" w:eastAsia="宋体" w:hAnsi="宋体" w:cs="宋体" w:hint="eastAsia"/>
          <w:b/>
          <w:color w:val="0070C0"/>
          <w:szCs w:val="21"/>
        </w:rPr>
        <w:t>；</w:t>
      </w:r>
      <w:r w:rsidRPr="000C19E6">
        <w:rPr>
          <w:rFonts w:ascii="宋体" w:eastAsia="宋体" w:hAnsi="宋体" w:cs="宋体"/>
          <w:b/>
          <w:color w:val="0070C0"/>
          <w:szCs w:val="21"/>
        </w:rPr>
        <w:t>Shenjie Tang</w:t>
      </w:r>
      <w:r w:rsidRPr="000C19E6">
        <w:rPr>
          <w:rFonts w:ascii="宋体" w:eastAsia="宋体" w:hAnsi="宋体" w:cs="宋体" w:hint="eastAsia"/>
          <w:b/>
          <w:color w:val="0070C0"/>
          <w:szCs w:val="21"/>
        </w:rPr>
        <w:t>，</w:t>
      </w:r>
      <w:r w:rsidRPr="000C19E6">
        <w:rPr>
          <w:rFonts w:ascii="宋体" w:eastAsia="宋体" w:hAnsi="宋体" w:cs="宋体"/>
          <w:b/>
          <w:color w:val="0070C0"/>
          <w:szCs w:val="21"/>
        </w:rPr>
        <w:t xml:space="preserve"> tangsj1106@vip.sina.com</w:t>
      </w:r>
    </w:p>
    <w:p w:rsidR="000C19E6" w:rsidRDefault="000C19E6"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szCs w:val="21"/>
        </w:rPr>
        <w:t>Author information:</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(1)Beijing Chest Hospital, Capital Medical University, Beijing Tuberculosis and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Thoracic Tumor Research Institute, Beijing, 101149, China.</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(2)Department of Tuberculosis, Public Health Clinical Center of Chengdu, No. 377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Jingming Road, Jingjiang District, Chengdu, Sichuan, 610061, China.</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(3)Department of Infectious Diseases and Clinical Microbiology, Beijing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Chao-Yang Hospital, Capital Medical University, Beijing, China.</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(4)Department of Tuberculosis, The Fourth People's Hospital of Nanning, Nanning,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Guangxi, China.</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(5)Department of Infectious Diseases, the First Affiliated Hospital, Army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Medical University, Chinese People's Liberation Army, Chongqing, China.</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(6)Department of Tuberculosis, The Affiliated Infectious Diseases Hospital of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Soochow University, The Fifth People's Hospital of Suzhou, Suzhou, Jiangsu,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China.</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(7)Department of Respiratory and Critical Care Medicine, Anqing Municipal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Hospital, Anqing, Anhui, China.</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(8)Department of Tuberculosis, Haerbin Chest Hospital, Haerbin, Heilongjiang,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China.</w:t>
      </w:r>
    </w:p>
    <w:p w:rsidR="004B2F17" w:rsidRPr="004B2F17" w:rsidRDefault="004B2F17" w:rsidP="004B2F17">
      <w:pPr>
        <w:rPr>
          <w:rFonts w:ascii="宋体" w:eastAsia="宋体" w:hAnsi="宋体" w:cs="宋体"/>
          <w:szCs w:val="21"/>
        </w:rPr>
      </w:pPr>
      <w:r w:rsidRPr="004B2F17">
        <w:rPr>
          <w:rFonts w:ascii="宋体" w:eastAsia="宋体" w:hAnsi="宋体" w:cs="宋体"/>
          <w:szCs w:val="21"/>
        </w:rPr>
        <w:t>(9)Department of Tuberculosis, Wuhan Pulmonary Hospital, Wuhan, Hubei, China.</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(10)Department of Tuberculosis, The Third People's Hospital of Tibet Autonomous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Region, Lhasa, Tibet, China.</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(11)Department of Tuberculosis, Public Health Clinical Center of Chengdu, No.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377 Jingming Road, Jingjiang District, Chengdu, Sichuan, 610061, China.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wghwgh2584@sina.com.</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(12)Beijing Chest Hospital, Capital Medical University, Beijing Tuberculosis and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Thoracic Tumor Research Institute, Beijing, 101149, China.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tangsj1106@vip.sina.com.</w:t>
      </w:r>
    </w:p>
    <w:p w:rsidR="004B2F17" w:rsidRPr="004B2F17" w:rsidRDefault="004B2F17" w:rsidP="004B2F17">
      <w:pPr>
        <w:rPr>
          <w:rFonts w:ascii="宋体" w:eastAsia="宋体" w:hAnsi="宋体" w:cs="宋体"/>
          <w:szCs w:val="21"/>
        </w:rPr>
      </w:pPr>
      <w:r w:rsidRPr="004B2F17">
        <w:rPr>
          <w:rFonts w:ascii="宋体" w:eastAsia="宋体" w:hAnsi="宋体" w:cs="宋体"/>
          <w:szCs w:val="21"/>
        </w:rPr>
        <w:t>(#)Contributed equally</w:t>
      </w:r>
    </w:p>
    <w:p w:rsidR="004B2F17" w:rsidRPr="004B2F17" w:rsidRDefault="004B2F17"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9E4E5F">
        <w:rPr>
          <w:rFonts w:ascii="宋体" w:eastAsia="宋体" w:hAnsi="宋体" w:cs="宋体"/>
          <w:b/>
          <w:szCs w:val="21"/>
        </w:rPr>
        <w:t>BACKGROUND:</w:t>
      </w:r>
      <w:r w:rsidRPr="004B2F17">
        <w:rPr>
          <w:rFonts w:ascii="宋体" w:eastAsia="宋体" w:hAnsi="宋体" w:cs="宋体"/>
          <w:szCs w:val="21"/>
        </w:rPr>
        <w:t xml:space="preserve"> Rifampicin-resistant tuberculosis (RR-TB) remains a significant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global public health concern. The elderly population is not only at high risk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and among the primary victims of RR-TB but also plays a crucial role in the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transmission chain of RR-TB. Their biological particularities, treatment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complexities, and social vulnerabilities collectively present substantial </w:t>
      </w:r>
    </w:p>
    <w:p w:rsidR="004B2F17" w:rsidRPr="004B2F17" w:rsidRDefault="004B2F17" w:rsidP="004B2F17">
      <w:pPr>
        <w:rPr>
          <w:rFonts w:ascii="宋体" w:eastAsia="宋体" w:hAnsi="宋体" w:cs="宋体"/>
          <w:szCs w:val="21"/>
        </w:rPr>
      </w:pPr>
      <w:r w:rsidRPr="004B2F17">
        <w:rPr>
          <w:rFonts w:ascii="宋体" w:eastAsia="宋体" w:hAnsi="宋体" w:cs="宋体"/>
          <w:szCs w:val="21"/>
        </w:rPr>
        <w:lastRenderedPageBreak/>
        <w:t xml:space="preserve">challenges to global tuberculosis control. This study aimed to evaluate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treatment outcomes and identify predictors of unfavorable outcomes among elderly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patients with RR-TB in China.</w:t>
      </w:r>
    </w:p>
    <w:p w:rsidR="004B2F17" w:rsidRPr="004B2F17" w:rsidRDefault="004B2F17" w:rsidP="004B2F17">
      <w:pPr>
        <w:rPr>
          <w:rFonts w:ascii="宋体" w:eastAsia="宋体" w:hAnsi="宋体" w:cs="宋体"/>
          <w:szCs w:val="21"/>
        </w:rPr>
      </w:pPr>
      <w:r w:rsidRPr="009E4E5F">
        <w:rPr>
          <w:rFonts w:ascii="宋体" w:eastAsia="宋体" w:hAnsi="宋体" w:cs="宋体"/>
          <w:b/>
          <w:szCs w:val="21"/>
        </w:rPr>
        <w:t xml:space="preserve">METHODS: </w:t>
      </w:r>
      <w:r w:rsidRPr="004B2F17">
        <w:rPr>
          <w:rFonts w:ascii="宋体" w:eastAsia="宋体" w:hAnsi="宋体" w:cs="宋体"/>
          <w:szCs w:val="21"/>
        </w:rPr>
        <w:t xml:space="preserve">A multicenter retrospective cohort study was conducted, including 248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elderly RR-TB patients treated across eight tertiary hospitals in China from May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2018 to April 2020. Multivariate logistic regression and Propensity Score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Matching (PSM) analyses were performed to identify factors associated with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unfavorable outcomes. Statistical analyses were performed using SPSS.</w:t>
      </w:r>
    </w:p>
    <w:p w:rsidR="004B2F17" w:rsidRPr="004B2F17" w:rsidRDefault="004B2F17" w:rsidP="004B2F17">
      <w:pPr>
        <w:rPr>
          <w:rFonts w:ascii="宋体" w:eastAsia="宋体" w:hAnsi="宋体" w:cs="宋体"/>
          <w:szCs w:val="21"/>
        </w:rPr>
      </w:pPr>
      <w:r w:rsidRPr="009E4E5F">
        <w:rPr>
          <w:rFonts w:ascii="宋体" w:eastAsia="宋体" w:hAnsi="宋体" w:cs="宋体"/>
          <w:b/>
          <w:szCs w:val="21"/>
        </w:rPr>
        <w:t>RESULTS:</w:t>
      </w:r>
      <w:r w:rsidRPr="004B2F17">
        <w:rPr>
          <w:rFonts w:ascii="宋体" w:eastAsia="宋体" w:hAnsi="宋体" w:cs="宋体"/>
          <w:szCs w:val="21"/>
        </w:rPr>
        <w:t xml:space="preserve"> Among 248 patients, 65.7% (163/248) achieved treatment success (cured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or completed treatment), while 34.3% (85/248) experienced unfavorable outcomes,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including treatment failure (10.5%), death (2.4%), loss to follow-up (15.7%),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and non-evaluation (5.6%). Adverse events (AEs) were reported in 56.0% (139/248)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of patients, among which anemia was the most common (25.8%). And the use of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bedaquiline and linezolid was significantly associated with the occurrence of QT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interval prolongation and optic neuritis (p</w:t>
      </w:r>
      <w:r w:rsidRPr="004B2F17">
        <w:rPr>
          <w:rFonts w:ascii="MS Gothic" w:eastAsia="宋体" w:hAnsi="MS Gothic" w:cs="MS Gothic"/>
          <w:szCs w:val="21"/>
        </w:rPr>
        <w:t> </w:t>
      </w:r>
      <w:r w:rsidRPr="004B2F17">
        <w:rPr>
          <w:rFonts w:ascii="宋体" w:eastAsia="宋体" w:hAnsi="宋体" w:cs="宋体"/>
          <w:szCs w:val="21"/>
        </w:rPr>
        <w:t>&lt;</w:t>
      </w:r>
      <w:r w:rsidRPr="004B2F17">
        <w:rPr>
          <w:rFonts w:ascii="MS Gothic" w:eastAsia="宋体" w:hAnsi="MS Gothic" w:cs="MS Gothic"/>
          <w:szCs w:val="21"/>
        </w:rPr>
        <w:t> </w:t>
      </w:r>
      <w:r w:rsidRPr="004B2F17">
        <w:rPr>
          <w:rFonts w:ascii="宋体" w:eastAsia="宋体" w:hAnsi="宋体" w:cs="宋体"/>
          <w:szCs w:val="21"/>
        </w:rPr>
        <w:t xml:space="preserve">0.05). Multivariate analysis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revealed that BMI</w:t>
      </w:r>
      <w:r w:rsidRPr="004B2F17">
        <w:rPr>
          <w:rFonts w:ascii="MS Gothic" w:eastAsia="宋体" w:hAnsi="MS Gothic" w:cs="MS Gothic"/>
          <w:szCs w:val="21"/>
        </w:rPr>
        <w:t> </w:t>
      </w:r>
      <w:r w:rsidRPr="004B2F17">
        <w:rPr>
          <w:rFonts w:ascii="宋体" w:eastAsia="宋体" w:hAnsi="宋体" w:cs="宋体"/>
          <w:szCs w:val="21"/>
        </w:rPr>
        <w:t>&lt;</w:t>
      </w:r>
      <w:r w:rsidRPr="004B2F17">
        <w:rPr>
          <w:rFonts w:ascii="MS Gothic" w:eastAsia="宋体" w:hAnsi="MS Gothic" w:cs="MS Gothic"/>
          <w:szCs w:val="21"/>
        </w:rPr>
        <w:t> </w:t>
      </w:r>
      <w:r w:rsidRPr="004B2F17">
        <w:rPr>
          <w:rFonts w:ascii="宋体" w:eastAsia="宋体" w:hAnsi="宋体" w:cs="宋体"/>
          <w:szCs w:val="21"/>
        </w:rPr>
        <w:t>18.5</w:t>
      </w:r>
      <w:r w:rsidRPr="004B2F17">
        <w:rPr>
          <w:rFonts w:ascii="宋体" w:eastAsia="宋体" w:hAnsi="宋体" w:cs="宋体" w:hint="eastAsia"/>
          <w:szCs w:val="21"/>
        </w:rPr>
        <w:t> </w:t>
      </w:r>
      <w:r w:rsidRPr="004B2F17">
        <w:rPr>
          <w:rFonts w:ascii="宋体" w:eastAsia="宋体" w:hAnsi="宋体" w:cs="宋体"/>
          <w:szCs w:val="21"/>
        </w:rPr>
        <w:t>kg/m</w:t>
      </w:r>
      <w:r w:rsidRPr="004B2F17">
        <w:rPr>
          <w:rFonts w:ascii="宋体" w:eastAsia="宋体" w:hAnsi="宋体" w:cs="宋体" w:hint="eastAsia"/>
          <w:szCs w:val="21"/>
        </w:rPr>
        <w:t>²</w:t>
      </w:r>
      <w:r w:rsidRPr="004B2F17">
        <w:rPr>
          <w:rFonts w:ascii="宋体" w:eastAsia="宋体" w:hAnsi="宋体" w:cs="宋体"/>
          <w:szCs w:val="21"/>
        </w:rPr>
        <w:t>(aOR: 3.66, 95% CI: 1.89-7.08, p</w:t>
      </w:r>
      <w:r w:rsidRPr="004B2F17">
        <w:rPr>
          <w:rFonts w:ascii="MS Gothic" w:eastAsia="宋体" w:hAnsi="MS Gothic" w:cs="MS Gothic"/>
          <w:szCs w:val="21"/>
        </w:rPr>
        <w:t> </w:t>
      </w:r>
      <w:r w:rsidRPr="004B2F17">
        <w:rPr>
          <w:rFonts w:ascii="宋体" w:eastAsia="宋体" w:hAnsi="宋体" w:cs="宋体"/>
          <w:szCs w:val="21"/>
        </w:rPr>
        <w:t>&lt;</w:t>
      </w:r>
      <w:r w:rsidRPr="004B2F17">
        <w:rPr>
          <w:rFonts w:ascii="MS Gothic" w:eastAsia="宋体" w:hAnsi="MS Gothic" w:cs="MS Gothic"/>
          <w:szCs w:val="21"/>
        </w:rPr>
        <w:t> </w:t>
      </w:r>
      <w:r w:rsidRPr="004B2F17">
        <w:rPr>
          <w:rFonts w:ascii="宋体" w:eastAsia="宋体" w:hAnsi="宋体" w:cs="宋体"/>
          <w:szCs w:val="21"/>
        </w:rPr>
        <w:t xml:space="preserve">0.01), advanced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drug resistance (aOR: 2.25, 95% CI: 1.14-4.45, p</w:t>
      </w:r>
      <w:r w:rsidRPr="004B2F17">
        <w:rPr>
          <w:rFonts w:ascii="MS Gothic" w:eastAsia="宋体" w:hAnsi="MS Gothic" w:cs="MS Gothic"/>
          <w:szCs w:val="21"/>
        </w:rPr>
        <w:t> </w:t>
      </w:r>
      <w:r w:rsidRPr="004B2F17">
        <w:rPr>
          <w:rFonts w:ascii="宋体" w:eastAsia="宋体" w:hAnsi="宋体" w:cs="宋体"/>
          <w:szCs w:val="21"/>
        </w:rPr>
        <w:t>=</w:t>
      </w:r>
      <w:r w:rsidRPr="004B2F17">
        <w:rPr>
          <w:rFonts w:ascii="MS Gothic" w:eastAsia="宋体" w:hAnsi="MS Gothic" w:cs="MS Gothic"/>
          <w:szCs w:val="21"/>
        </w:rPr>
        <w:t> </w:t>
      </w:r>
      <w:r w:rsidRPr="004B2F17">
        <w:rPr>
          <w:rFonts w:ascii="宋体" w:eastAsia="宋体" w:hAnsi="宋体" w:cs="宋体"/>
          <w:szCs w:val="21"/>
        </w:rPr>
        <w:t xml:space="preserve">0.020), pre-treatment anemia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(aOR: 4.16, 95% CI: 2.01-8.61, p</w:t>
      </w:r>
      <w:r w:rsidRPr="004B2F17">
        <w:rPr>
          <w:rFonts w:ascii="MS Gothic" w:eastAsia="宋体" w:hAnsi="MS Gothic" w:cs="MS Gothic"/>
          <w:szCs w:val="21"/>
        </w:rPr>
        <w:t> </w:t>
      </w:r>
      <w:r w:rsidRPr="004B2F17">
        <w:rPr>
          <w:rFonts w:ascii="宋体" w:eastAsia="宋体" w:hAnsi="宋体" w:cs="宋体"/>
          <w:szCs w:val="21"/>
        </w:rPr>
        <w:t>&lt;</w:t>
      </w:r>
      <w:r w:rsidRPr="004B2F17">
        <w:rPr>
          <w:rFonts w:ascii="MS Gothic" w:eastAsia="宋体" w:hAnsi="MS Gothic" w:cs="MS Gothic"/>
          <w:szCs w:val="21"/>
        </w:rPr>
        <w:t> </w:t>
      </w:r>
      <w:r w:rsidRPr="004B2F17">
        <w:rPr>
          <w:rFonts w:ascii="宋体" w:eastAsia="宋体" w:hAnsi="宋体" w:cs="宋体"/>
          <w:szCs w:val="21"/>
        </w:rPr>
        <w:t xml:space="preserve">0.001) were independent predictors of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unfavorable outcomes. Adjunctive immunotherapy was associated with favorable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outcomes (aOR: 0.23, 95% CI: 0.09-0.55, p</w:t>
      </w:r>
      <w:r w:rsidRPr="004B2F17">
        <w:rPr>
          <w:rFonts w:ascii="MS Gothic" w:eastAsia="宋体" w:hAnsi="MS Gothic" w:cs="MS Gothic"/>
          <w:szCs w:val="21"/>
        </w:rPr>
        <w:t> </w:t>
      </w:r>
      <w:r w:rsidRPr="004B2F17">
        <w:rPr>
          <w:rFonts w:ascii="宋体" w:eastAsia="宋体" w:hAnsi="宋体" w:cs="宋体"/>
          <w:szCs w:val="21"/>
        </w:rPr>
        <w:t>&lt;</w:t>
      </w:r>
      <w:r w:rsidRPr="004B2F17">
        <w:rPr>
          <w:rFonts w:ascii="MS Gothic" w:eastAsia="宋体" w:hAnsi="MS Gothic" w:cs="MS Gothic"/>
          <w:szCs w:val="21"/>
        </w:rPr>
        <w:t> </w:t>
      </w:r>
      <w:r w:rsidRPr="004B2F17">
        <w:rPr>
          <w:rFonts w:ascii="宋体" w:eastAsia="宋体" w:hAnsi="宋体" w:cs="宋体"/>
          <w:szCs w:val="21"/>
        </w:rPr>
        <w:t xml:space="preserve">0.001). After PSM, pre-treatment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anemia remained significantly correlated with unfavorable outcomes (aOR: 3.5;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95% CI: 1.41-8.67, p</w:t>
      </w:r>
      <w:r w:rsidRPr="004B2F17">
        <w:rPr>
          <w:rFonts w:ascii="MS Gothic" w:eastAsia="宋体" w:hAnsi="MS Gothic" w:cs="MS Gothic"/>
          <w:szCs w:val="21"/>
        </w:rPr>
        <w:t> </w:t>
      </w:r>
      <w:r w:rsidRPr="004B2F17">
        <w:rPr>
          <w:rFonts w:ascii="宋体" w:eastAsia="宋体" w:hAnsi="宋体" w:cs="宋体"/>
          <w:szCs w:val="21"/>
        </w:rPr>
        <w:t>=</w:t>
      </w:r>
      <w:r w:rsidRPr="004B2F17">
        <w:rPr>
          <w:rFonts w:ascii="MS Gothic" w:eastAsia="宋体" w:hAnsi="MS Gothic" w:cs="MS Gothic"/>
          <w:szCs w:val="21"/>
        </w:rPr>
        <w:t> </w:t>
      </w:r>
      <w:r w:rsidRPr="004B2F17">
        <w:rPr>
          <w:rFonts w:ascii="宋体" w:eastAsia="宋体" w:hAnsi="宋体" w:cs="宋体"/>
          <w:szCs w:val="21"/>
        </w:rPr>
        <w:t>0.007).</w:t>
      </w:r>
    </w:p>
    <w:p w:rsidR="004B2F17" w:rsidRPr="004B2F17" w:rsidRDefault="004B2F17" w:rsidP="004B2F17">
      <w:pPr>
        <w:rPr>
          <w:rFonts w:ascii="宋体" w:eastAsia="宋体" w:hAnsi="宋体" w:cs="宋体"/>
          <w:szCs w:val="21"/>
        </w:rPr>
      </w:pPr>
      <w:r w:rsidRPr="009E4E5F">
        <w:rPr>
          <w:rFonts w:ascii="宋体" w:eastAsia="宋体" w:hAnsi="宋体" w:cs="宋体"/>
          <w:b/>
          <w:szCs w:val="21"/>
        </w:rPr>
        <w:t>CONCLUSION:</w:t>
      </w:r>
      <w:r w:rsidRPr="004B2F17">
        <w:rPr>
          <w:rFonts w:ascii="宋体" w:eastAsia="宋体" w:hAnsi="宋体" w:cs="宋体"/>
          <w:szCs w:val="21"/>
        </w:rPr>
        <w:t xml:space="preserve"> A relatively low rates of treatment success were achieved for RR-TB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patients in the elderly at tertiary tuberculosis hospitals in China. Low BMI,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advanced drug resistance, and pre-treatment anemia were independent prognostic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factors for unfavorable treatment outcomes. Adjunctive immunotherapy was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prognostic factors for unfavorable treatment outcomes of elderly RR-TB patients.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In tuberculosis management, special consideration should be given to elderly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patients.</w:t>
      </w:r>
    </w:p>
    <w:p w:rsidR="004B2F17" w:rsidRPr="004B2F17" w:rsidRDefault="004B2F17"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hint="eastAsia"/>
          <w:szCs w:val="21"/>
        </w:rPr>
        <w:t>©</w:t>
      </w:r>
      <w:r w:rsidRPr="004B2F17">
        <w:rPr>
          <w:rFonts w:ascii="宋体" w:eastAsia="宋体" w:hAnsi="宋体" w:cs="宋体"/>
          <w:szCs w:val="21"/>
        </w:rPr>
        <w:t xml:space="preserve"> 2025. The Author(s).</w:t>
      </w:r>
    </w:p>
    <w:p w:rsidR="004B2F17" w:rsidRPr="004B2F17" w:rsidRDefault="004B2F17"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szCs w:val="21"/>
        </w:rPr>
        <w:t>DOI: 10.1186/s12879-025-11491-4</w:t>
      </w:r>
    </w:p>
    <w:p w:rsidR="004B2F17" w:rsidRPr="004B2F17" w:rsidRDefault="004B2F17" w:rsidP="004B2F17">
      <w:pPr>
        <w:rPr>
          <w:rFonts w:ascii="宋体" w:eastAsia="宋体" w:hAnsi="宋体" w:cs="宋体"/>
          <w:szCs w:val="21"/>
        </w:rPr>
      </w:pPr>
      <w:r w:rsidRPr="004B2F17">
        <w:rPr>
          <w:rFonts w:ascii="宋体" w:eastAsia="宋体" w:hAnsi="宋体" w:cs="宋体"/>
          <w:szCs w:val="21"/>
        </w:rPr>
        <w:t>PMCID: PMC12403260</w:t>
      </w:r>
    </w:p>
    <w:p w:rsidR="004B2F17" w:rsidRPr="004B2F17" w:rsidRDefault="004B2F17" w:rsidP="004B2F17">
      <w:pPr>
        <w:rPr>
          <w:rFonts w:ascii="宋体" w:eastAsia="宋体" w:hAnsi="宋体" w:cs="宋体"/>
          <w:szCs w:val="21"/>
        </w:rPr>
      </w:pPr>
      <w:r w:rsidRPr="004B2F17">
        <w:rPr>
          <w:rFonts w:ascii="宋体" w:eastAsia="宋体" w:hAnsi="宋体" w:cs="宋体"/>
          <w:szCs w:val="21"/>
        </w:rPr>
        <w:t>PMID:</w:t>
      </w:r>
      <w:r w:rsidR="009E4E5F">
        <w:rPr>
          <w:rFonts w:ascii="宋体" w:eastAsia="宋体" w:hAnsi="宋体" w:cs="宋体"/>
          <w:szCs w:val="21"/>
        </w:rPr>
        <w:t xml:space="preserve"> 40890690 [Indexed for MEDLINE]</w:t>
      </w:r>
    </w:p>
    <w:p w:rsidR="004B2F17" w:rsidRPr="004B2F17" w:rsidRDefault="004B2F17" w:rsidP="004B2F17">
      <w:pPr>
        <w:rPr>
          <w:rFonts w:ascii="宋体" w:eastAsia="宋体" w:hAnsi="宋体" w:cs="宋体"/>
          <w:szCs w:val="21"/>
        </w:rPr>
      </w:pPr>
    </w:p>
    <w:p w:rsidR="004B2F17" w:rsidRPr="009E4E5F" w:rsidRDefault="004B2F17" w:rsidP="004B2F17">
      <w:pPr>
        <w:rPr>
          <w:rFonts w:ascii="宋体" w:eastAsia="宋体" w:hAnsi="宋体" w:cs="宋体"/>
          <w:b/>
          <w:color w:val="FF0000"/>
          <w:szCs w:val="21"/>
        </w:rPr>
      </w:pPr>
      <w:r w:rsidRPr="009E4E5F">
        <w:rPr>
          <w:rFonts w:ascii="宋体" w:eastAsia="宋体" w:hAnsi="宋体" w:cs="宋体"/>
          <w:b/>
          <w:color w:val="FF0000"/>
          <w:szCs w:val="21"/>
        </w:rPr>
        <w:t>1</w:t>
      </w:r>
      <w:r w:rsidR="007844B7">
        <w:rPr>
          <w:rFonts w:ascii="宋体" w:eastAsia="宋体" w:hAnsi="宋体" w:cs="宋体"/>
          <w:b/>
          <w:color w:val="FF0000"/>
          <w:szCs w:val="21"/>
        </w:rPr>
        <w:t>3</w:t>
      </w:r>
      <w:r w:rsidRPr="009E4E5F">
        <w:rPr>
          <w:rFonts w:ascii="宋体" w:eastAsia="宋体" w:hAnsi="宋体" w:cs="宋体"/>
          <w:b/>
          <w:color w:val="FF0000"/>
          <w:szCs w:val="21"/>
        </w:rPr>
        <w:t>. BMC Musculoskelet Disord. 2025 Sep 1;26(1):830. doi: 10.1186/s12891-025-09053-5.</w:t>
      </w:r>
    </w:p>
    <w:p w:rsidR="004B2F17" w:rsidRPr="004B2F17" w:rsidRDefault="004B2F17"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Clinical and epidemiological analysis of 893 patients with spinal tuberculosis: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an 11-Year investigation of a general hospital in East China.</w:t>
      </w:r>
    </w:p>
    <w:p w:rsidR="004B2F17" w:rsidRPr="004B2F17" w:rsidRDefault="004B2F17"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szCs w:val="21"/>
        </w:rPr>
        <w:t>Cao M(1), Jiao S(1), Zhang Q(2), Zhu B(2), Shi S(3).</w:t>
      </w:r>
    </w:p>
    <w:p w:rsidR="004B2F17" w:rsidRDefault="004B2F17" w:rsidP="004B2F17">
      <w:pPr>
        <w:rPr>
          <w:rFonts w:ascii="宋体" w:eastAsia="宋体" w:hAnsi="宋体" w:cs="宋体"/>
          <w:szCs w:val="21"/>
        </w:rPr>
      </w:pPr>
    </w:p>
    <w:p w:rsidR="00D663AA" w:rsidRPr="00D663AA" w:rsidRDefault="00D663AA" w:rsidP="004B2F17">
      <w:pPr>
        <w:rPr>
          <w:rFonts w:ascii="宋体" w:eastAsia="宋体" w:hAnsi="宋体" w:cs="宋体"/>
          <w:b/>
          <w:color w:val="0070C0"/>
          <w:szCs w:val="21"/>
        </w:rPr>
      </w:pPr>
      <w:r w:rsidRPr="00D663AA">
        <w:rPr>
          <w:rFonts w:ascii="宋体" w:eastAsia="宋体" w:hAnsi="宋体" w:cs="宋体"/>
          <w:b/>
          <w:color w:val="0070C0"/>
          <w:szCs w:val="21"/>
        </w:rPr>
        <w:lastRenderedPageBreak/>
        <w:t>Manjiang Cao, Shuya Jiao, Quan Zhang, Bo Zhu, Shiyuan Shi</w:t>
      </w:r>
      <w:r>
        <w:rPr>
          <w:rFonts w:ascii="宋体" w:eastAsia="宋体" w:hAnsi="宋体" w:cs="宋体" w:hint="eastAsia"/>
          <w:b/>
          <w:color w:val="0070C0"/>
          <w:szCs w:val="21"/>
        </w:rPr>
        <w:t>*</w:t>
      </w:r>
    </w:p>
    <w:p w:rsidR="00D663AA" w:rsidRPr="00D663AA" w:rsidRDefault="00D663AA" w:rsidP="004B2F17">
      <w:pPr>
        <w:rPr>
          <w:rFonts w:ascii="宋体" w:eastAsia="宋体" w:hAnsi="宋体" w:cs="宋体"/>
          <w:b/>
          <w:color w:val="0070C0"/>
          <w:szCs w:val="21"/>
        </w:rPr>
      </w:pPr>
      <w:r w:rsidRPr="00D663AA">
        <w:rPr>
          <w:rFonts w:ascii="宋体" w:eastAsia="宋体" w:hAnsi="宋体" w:cs="宋体"/>
          <w:b/>
          <w:color w:val="0070C0"/>
          <w:szCs w:val="21"/>
        </w:rPr>
        <w:t>*Correspondence: Shiyuan Shi</w:t>
      </w:r>
      <w:r w:rsidRPr="00D663AA">
        <w:rPr>
          <w:rFonts w:ascii="宋体" w:eastAsia="宋体" w:hAnsi="宋体" w:cs="宋体" w:hint="eastAsia"/>
          <w:b/>
          <w:color w:val="0070C0"/>
          <w:szCs w:val="21"/>
        </w:rPr>
        <w:t>，</w:t>
      </w:r>
      <w:r w:rsidRPr="00D663AA">
        <w:rPr>
          <w:rFonts w:ascii="宋体" w:eastAsia="宋体" w:hAnsi="宋体" w:cs="宋体"/>
          <w:b/>
          <w:color w:val="0070C0"/>
          <w:szCs w:val="21"/>
        </w:rPr>
        <w:t>ssylf@sina.com</w:t>
      </w:r>
    </w:p>
    <w:p w:rsidR="00D663AA" w:rsidRDefault="00D663AA"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szCs w:val="21"/>
        </w:rPr>
        <w:t>Author information:</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(1)School of Second Clinical College, Zhejiang Chinese Medical University,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Hangzhou, Zhejiang, 310053, China.</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(2)Departments of Orthopedics, Hangzhou Red Cross Hospital, Hangzhou, Zhejiang,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310011, China.</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(3)Departments of Orthopedics, Hangzhou Ninth People's Hospital, Hangzhou,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Zhejiang, 310000, China. ssylf@sina.com.</w:t>
      </w:r>
    </w:p>
    <w:p w:rsidR="004B2F17" w:rsidRPr="004B2F17" w:rsidRDefault="004B2F17"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9E4E5F">
        <w:rPr>
          <w:rFonts w:ascii="宋体" w:eastAsia="宋体" w:hAnsi="宋体" w:cs="宋体"/>
          <w:b/>
          <w:szCs w:val="21"/>
        </w:rPr>
        <w:t>BACKGROUND:</w:t>
      </w:r>
      <w:r w:rsidRPr="004B2F17">
        <w:rPr>
          <w:rFonts w:ascii="宋体" w:eastAsia="宋体" w:hAnsi="宋体" w:cs="宋体"/>
          <w:szCs w:val="21"/>
        </w:rPr>
        <w:t xml:space="preserve"> The burden of spinal tuberculosis (STB) in China remains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substantial, with the country ranking third in the number of tuberculosis cases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globally in 2022, among the 30 countries with a high tuberculosis burden. In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East China, few large-scale studies have been conducted on STB.</w:t>
      </w:r>
    </w:p>
    <w:p w:rsidR="004B2F17" w:rsidRPr="004B2F17" w:rsidRDefault="004B2F17" w:rsidP="004B2F17">
      <w:pPr>
        <w:rPr>
          <w:rFonts w:ascii="宋体" w:eastAsia="宋体" w:hAnsi="宋体" w:cs="宋体"/>
          <w:szCs w:val="21"/>
        </w:rPr>
      </w:pPr>
      <w:r w:rsidRPr="009E4E5F">
        <w:rPr>
          <w:rFonts w:ascii="宋体" w:eastAsia="宋体" w:hAnsi="宋体" w:cs="宋体"/>
          <w:b/>
          <w:szCs w:val="21"/>
        </w:rPr>
        <w:t>METHODS:</w:t>
      </w:r>
      <w:r w:rsidRPr="004B2F17">
        <w:rPr>
          <w:rFonts w:ascii="宋体" w:eastAsia="宋体" w:hAnsi="宋体" w:cs="宋体"/>
          <w:szCs w:val="21"/>
        </w:rPr>
        <w:t xml:space="preserve"> This retrospective study analyzed 893 confirmed STB cases (2010-2020).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Demographic, clinical, and diagnostic data were statistically characterized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using χ²/t-tests for categorical/continuous variables (significance at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P</w:t>
      </w:r>
      <w:r w:rsidRPr="004B2F17">
        <w:rPr>
          <w:rFonts w:ascii="MS Gothic" w:eastAsia="宋体" w:hAnsi="MS Gothic" w:cs="MS Gothic"/>
          <w:szCs w:val="21"/>
        </w:rPr>
        <w:t> </w:t>
      </w:r>
      <w:r w:rsidRPr="004B2F17">
        <w:rPr>
          <w:rFonts w:ascii="宋体" w:eastAsia="宋体" w:hAnsi="宋体" w:cs="宋体"/>
          <w:szCs w:val="21"/>
        </w:rPr>
        <w:t>&lt;</w:t>
      </w:r>
      <w:r w:rsidRPr="004B2F17">
        <w:rPr>
          <w:rFonts w:ascii="MS Gothic" w:eastAsia="宋体" w:hAnsi="MS Gothic" w:cs="MS Gothic"/>
          <w:szCs w:val="21"/>
        </w:rPr>
        <w:t> </w:t>
      </w:r>
      <w:r w:rsidRPr="004B2F17">
        <w:rPr>
          <w:rFonts w:ascii="宋体" w:eastAsia="宋体" w:hAnsi="宋体" w:cs="宋体"/>
          <w:szCs w:val="21"/>
        </w:rPr>
        <w:t>0.05).</w:t>
      </w:r>
    </w:p>
    <w:p w:rsidR="004B2F17" w:rsidRPr="004B2F17" w:rsidRDefault="004B2F17" w:rsidP="004B2F17">
      <w:pPr>
        <w:rPr>
          <w:rFonts w:ascii="宋体" w:eastAsia="宋体" w:hAnsi="宋体" w:cs="宋体"/>
          <w:szCs w:val="21"/>
        </w:rPr>
      </w:pPr>
      <w:r w:rsidRPr="009E4E5F">
        <w:rPr>
          <w:rFonts w:ascii="宋体" w:eastAsia="宋体" w:hAnsi="宋体" w:cs="宋体"/>
          <w:b/>
          <w:szCs w:val="21"/>
        </w:rPr>
        <w:t>RESULTS:</w:t>
      </w:r>
      <w:r w:rsidRPr="004B2F17">
        <w:rPr>
          <w:rFonts w:ascii="宋体" w:eastAsia="宋体" w:hAnsi="宋体" w:cs="宋体"/>
          <w:szCs w:val="21"/>
        </w:rPr>
        <w:t xml:space="preserve"> The annual number of confirmed STB cases of spinal TB showed a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sustained upward trend. Among 893 STB patients (male: female</w:t>
      </w:r>
      <w:r w:rsidRPr="004B2F17">
        <w:rPr>
          <w:rFonts w:ascii="MS Gothic" w:eastAsia="宋体" w:hAnsi="MS Gothic" w:cs="MS Gothic"/>
          <w:szCs w:val="21"/>
        </w:rPr>
        <w:t> </w:t>
      </w:r>
      <w:r w:rsidRPr="004B2F17">
        <w:rPr>
          <w:rFonts w:ascii="宋体" w:eastAsia="宋体" w:hAnsi="宋体" w:cs="宋体"/>
          <w:szCs w:val="21"/>
        </w:rPr>
        <w:t>=</w:t>
      </w:r>
      <w:r w:rsidRPr="004B2F17">
        <w:rPr>
          <w:rFonts w:ascii="MS Gothic" w:eastAsia="宋体" w:hAnsi="MS Gothic" w:cs="MS Gothic"/>
          <w:szCs w:val="21"/>
        </w:rPr>
        <w:t> </w:t>
      </w:r>
      <w:r w:rsidRPr="004B2F17">
        <w:rPr>
          <w:rFonts w:ascii="宋体" w:eastAsia="宋体" w:hAnsi="宋体" w:cs="宋体"/>
          <w:szCs w:val="21"/>
        </w:rPr>
        <w:t xml:space="preserve">1.4:1; median age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56 years), rural populations exhibited higher prevalence (P</w:t>
      </w:r>
      <w:r w:rsidRPr="004B2F17">
        <w:rPr>
          <w:rFonts w:ascii="MS Gothic" w:eastAsia="宋体" w:hAnsi="MS Gothic" w:cs="MS Gothic"/>
          <w:szCs w:val="21"/>
        </w:rPr>
        <w:t> </w:t>
      </w:r>
      <w:r w:rsidRPr="004B2F17">
        <w:rPr>
          <w:rFonts w:ascii="宋体" w:eastAsia="宋体" w:hAnsi="宋体" w:cs="宋体"/>
          <w:szCs w:val="21"/>
        </w:rPr>
        <w:t>=</w:t>
      </w:r>
      <w:r w:rsidRPr="004B2F17">
        <w:rPr>
          <w:rFonts w:ascii="MS Gothic" w:eastAsia="宋体" w:hAnsi="MS Gothic" w:cs="MS Gothic"/>
          <w:szCs w:val="21"/>
        </w:rPr>
        <w:t> </w:t>
      </w:r>
      <w:r w:rsidRPr="004B2F17">
        <w:rPr>
          <w:rFonts w:ascii="宋体" w:eastAsia="宋体" w:hAnsi="宋体" w:cs="宋体"/>
          <w:szCs w:val="21"/>
        </w:rPr>
        <w:t xml:space="preserve">0.264 for delayed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hospitalization vs. urban). Farmers/laborers predominated (84.7%), with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hypertension (32.4%), diabetes (18.5%) and osteoporosis (12.9%) as major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comorbidities. Concurrent pulmonary TB occurred in 435 cases (48.7%) and other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extrapulmonary TB in 71 (8.0%). Diagnostic evaluations revealed TSPOT (82.7%),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histopathology (75.9%) and Xpert-MTB/RIF (71.8%) as most sensitive methods.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Compared with histopathological gold standard, Xpert demonstrated 81.5%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sensitivity, 58.8% specificity, 87.0% PPV and 48.3% NPV (kappa</w:t>
      </w:r>
      <w:r w:rsidRPr="004B2F17">
        <w:rPr>
          <w:rFonts w:ascii="MS Gothic" w:eastAsia="宋体" w:hAnsi="MS Gothic" w:cs="MS Gothic"/>
          <w:szCs w:val="21"/>
        </w:rPr>
        <w:t> </w:t>
      </w:r>
      <w:r w:rsidRPr="004B2F17">
        <w:rPr>
          <w:rFonts w:ascii="宋体" w:eastAsia="宋体" w:hAnsi="宋体" w:cs="宋体"/>
          <w:szCs w:val="21"/>
        </w:rPr>
        <w:t>=</w:t>
      </w:r>
      <w:r w:rsidRPr="004B2F17">
        <w:rPr>
          <w:rFonts w:ascii="MS Gothic" w:eastAsia="宋体" w:hAnsi="MS Gothic" w:cs="MS Gothic"/>
          <w:szCs w:val="21"/>
        </w:rPr>
        <w:t> </w:t>
      </w:r>
      <w:r w:rsidRPr="004B2F17">
        <w:rPr>
          <w:rFonts w:ascii="宋体" w:eastAsia="宋体" w:hAnsi="宋体" w:cs="宋体"/>
          <w:szCs w:val="21"/>
        </w:rPr>
        <w:t xml:space="preserve">0.374).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Combining histopathology with Xpert achieved 86.6% diagnostic accuracy,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significantly surpassing individual methods (P</w:t>
      </w:r>
      <w:r w:rsidRPr="004B2F17">
        <w:rPr>
          <w:rFonts w:ascii="MS Gothic" w:eastAsia="宋体" w:hAnsi="MS Gothic" w:cs="MS Gothic"/>
          <w:szCs w:val="21"/>
        </w:rPr>
        <w:t> </w:t>
      </w:r>
      <w:r w:rsidRPr="004B2F17">
        <w:rPr>
          <w:rFonts w:ascii="宋体" w:eastAsia="宋体" w:hAnsi="宋体" w:cs="宋体"/>
          <w:szCs w:val="21"/>
        </w:rPr>
        <w:t>&lt;</w:t>
      </w:r>
      <w:r w:rsidRPr="004B2F17">
        <w:rPr>
          <w:rFonts w:ascii="MS Gothic" w:eastAsia="宋体" w:hAnsi="MS Gothic" w:cs="MS Gothic"/>
          <w:szCs w:val="21"/>
        </w:rPr>
        <w:t> </w:t>
      </w:r>
      <w:r w:rsidRPr="004B2F17">
        <w:rPr>
          <w:rFonts w:ascii="宋体" w:eastAsia="宋体" w:hAnsi="宋体" w:cs="宋体"/>
          <w:szCs w:val="21"/>
        </w:rPr>
        <w:t xml:space="preserve">0.001). Lesion distribution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showed lumbar (44.3%) and thoracic (42.3%) predominance, mostly involving</w:t>
      </w:r>
      <w:r w:rsidRPr="004B2F17">
        <w:rPr>
          <w:rFonts w:ascii="MS Gothic" w:eastAsia="宋体" w:hAnsi="MS Gothic" w:cs="MS Gothic"/>
          <w:szCs w:val="21"/>
        </w:rPr>
        <w:t> </w:t>
      </w:r>
      <w:r w:rsidRPr="004B2F17">
        <w:rPr>
          <w:rFonts w:ascii="宋体" w:eastAsia="宋体" w:hAnsi="宋体" w:cs="宋体" w:hint="eastAsia"/>
          <w:szCs w:val="21"/>
        </w:rPr>
        <w:t>≥</w:t>
      </w:r>
      <w:r w:rsidRPr="004B2F17">
        <w:rPr>
          <w:rFonts w:ascii="MS Gothic" w:eastAsia="宋体" w:hAnsi="MS Gothic" w:cs="MS Gothic"/>
          <w:szCs w:val="21"/>
        </w:rPr>
        <w:t> </w:t>
      </w:r>
      <w:r w:rsidRPr="004B2F17">
        <w:rPr>
          <w:rFonts w:ascii="宋体" w:eastAsia="宋体" w:hAnsi="宋体" w:cs="宋体"/>
          <w:szCs w:val="21"/>
        </w:rPr>
        <w:t xml:space="preserve">2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contiguous vertebrae (91.3% continuous vs. 8.7% skip lesions). Chemotherapy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remained primary treatment, with 6.5% drug resistance rate showing annual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escalation (mainly monoresistance). Surgical intervention achieved favorable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outcomes in 648 cases (72.6%).</w:t>
      </w:r>
    </w:p>
    <w:p w:rsidR="004B2F17" w:rsidRPr="004B2F17" w:rsidRDefault="004B2F17" w:rsidP="004B2F17">
      <w:pPr>
        <w:rPr>
          <w:rFonts w:ascii="宋体" w:eastAsia="宋体" w:hAnsi="宋体" w:cs="宋体"/>
          <w:szCs w:val="21"/>
        </w:rPr>
      </w:pPr>
      <w:r w:rsidRPr="009E4E5F">
        <w:rPr>
          <w:rFonts w:ascii="宋体" w:eastAsia="宋体" w:hAnsi="宋体" w:cs="宋体"/>
          <w:b/>
          <w:szCs w:val="21"/>
        </w:rPr>
        <w:t>CONCLUSION:</w:t>
      </w:r>
      <w:r w:rsidRPr="004B2F17">
        <w:rPr>
          <w:rFonts w:ascii="宋体" w:eastAsia="宋体" w:hAnsi="宋体" w:cs="宋体"/>
          <w:szCs w:val="21"/>
        </w:rPr>
        <w:t xml:space="preserve"> Over the course of the study period, the overall diagnosis rate of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spinal tuberculosis exhibited an upward trend. Despite East China's relatively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advanced socioeconomic and healthcare systems, spinal tuberculosis remains a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substantial public health challenge, primarily due to the region's complex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population composition and high population mobility. The prevention and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management of spinal tuberculosis continue to present considerable challenges.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Early diagnosis, combined with an appropriate treatment course, ensures that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both chemotherapy and surgical interventions yield satisfactory outcomes. </w:t>
      </w:r>
    </w:p>
    <w:p w:rsidR="004B2F17" w:rsidRPr="004B2F17" w:rsidRDefault="004B2F17" w:rsidP="004B2F17">
      <w:pPr>
        <w:rPr>
          <w:rFonts w:ascii="宋体" w:eastAsia="宋体" w:hAnsi="宋体" w:cs="宋体"/>
          <w:szCs w:val="21"/>
        </w:rPr>
      </w:pPr>
      <w:r w:rsidRPr="004B2F17">
        <w:rPr>
          <w:rFonts w:ascii="宋体" w:eastAsia="宋体" w:hAnsi="宋体" w:cs="宋体"/>
          <w:szCs w:val="21"/>
        </w:rPr>
        <w:lastRenderedPageBreak/>
        <w:t xml:space="preserve">Increasing the allocation and investment of medical resources for tuberculosis,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 xml:space="preserve">enhancing health management for migrant populations, and raising public health </w:t>
      </w:r>
    </w:p>
    <w:p w:rsidR="004B2F17" w:rsidRPr="004B2F17" w:rsidRDefault="004B2F17" w:rsidP="004B2F17">
      <w:pPr>
        <w:rPr>
          <w:rFonts w:ascii="宋体" w:eastAsia="宋体" w:hAnsi="宋体" w:cs="宋体"/>
          <w:szCs w:val="21"/>
        </w:rPr>
      </w:pPr>
      <w:r w:rsidRPr="004B2F17">
        <w:rPr>
          <w:rFonts w:ascii="宋体" w:eastAsia="宋体" w:hAnsi="宋体" w:cs="宋体"/>
          <w:szCs w:val="21"/>
        </w:rPr>
        <w:t>awareness are essential.</w:t>
      </w:r>
    </w:p>
    <w:p w:rsidR="004B2F17" w:rsidRPr="004B2F17" w:rsidRDefault="004B2F17"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hint="eastAsia"/>
          <w:szCs w:val="21"/>
        </w:rPr>
        <w:t>©</w:t>
      </w:r>
      <w:r w:rsidRPr="004B2F17">
        <w:rPr>
          <w:rFonts w:ascii="宋体" w:eastAsia="宋体" w:hAnsi="宋体" w:cs="宋体"/>
          <w:szCs w:val="21"/>
        </w:rPr>
        <w:t xml:space="preserve"> 2025. The Author(s).</w:t>
      </w:r>
    </w:p>
    <w:p w:rsidR="004B2F17" w:rsidRPr="004B2F17" w:rsidRDefault="004B2F17" w:rsidP="004B2F17">
      <w:pPr>
        <w:rPr>
          <w:rFonts w:ascii="宋体" w:eastAsia="宋体" w:hAnsi="宋体" w:cs="宋体"/>
          <w:szCs w:val="21"/>
        </w:rPr>
      </w:pPr>
    </w:p>
    <w:p w:rsidR="004B2F17" w:rsidRPr="004B2F17" w:rsidRDefault="004B2F17" w:rsidP="004B2F17">
      <w:pPr>
        <w:rPr>
          <w:rFonts w:ascii="宋体" w:eastAsia="宋体" w:hAnsi="宋体" w:cs="宋体"/>
          <w:szCs w:val="21"/>
        </w:rPr>
      </w:pPr>
      <w:r w:rsidRPr="004B2F17">
        <w:rPr>
          <w:rFonts w:ascii="宋体" w:eastAsia="宋体" w:hAnsi="宋体" w:cs="宋体"/>
          <w:szCs w:val="21"/>
        </w:rPr>
        <w:t>DOI: 10.1186/s12891-025-09053-5</w:t>
      </w:r>
    </w:p>
    <w:p w:rsidR="004B2F17" w:rsidRPr="004B2F17" w:rsidRDefault="004B2F17" w:rsidP="004B2F17">
      <w:pPr>
        <w:rPr>
          <w:rFonts w:ascii="宋体" w:eastAsia="宋体" w:hAnsi="宋体" w:cs="宋体"/>
          <w:szCs w:val="21"/>
        </w:rPr>
      </w:pPr>
      <w:r w:rsidRPr="004B2F17">
        <w:rPr>
          <w:rFonts w:ascii="宋体" w:eastAsia="宋体" w:hAnsi="宋体" w:cs="宋体"/>
          <w:szCs w:val="21"/>
        </w:rPr>
        <w:t>PMCID: PMC12403531</w:t>
      </w:r>
    </w:p>
    <w:p w:rsidR="004B2F17" w:rsidRPr="004B2F17" w:rsidRDefault="004B2F17" w:rsidP="004B2F17">
      <w:pPr>
        <w:rPr>
          <w:rFonts w:ascii="宋体" w:eastAsia="宋体" w:hAnsi="宋体" w:cs="宋体"/>
          <w:szCs w:val="21"/>
        </w:rPr>
      </w:pPr>
      <w:r w:rsidRPr="004B2F17">
        <w:rPr>
          <w:rFonts w:ascii="宋体" w:eastAsia="宋体" w:hAnsi="宋体" w:cs="宋体"/>
          <w:szCs w:val="21"/>
        </w:rPr>
        <w:t>PMID: 40890663 [Indexed for MEDLINE]</w:t>
      </w:r>
    </w:p>
    <w:p w:rsidR="004B2F17" w:rsidRPr="004B2F17" w:rsidRDefault="004B2F17" w:rsidP="004B2F17">
      <w:pPr>
        <w:rPr>
          <w:rFonts w:ascii="宋体" w:eastAsia="宋体" w:hAnsi="宋体" w:cs="宋体"/>
          <w:szCs w:val="21"/>
        </w:rPr>
      </w:pPr>
    </w:p>
    <w:p w:rsidR="006137B5" w:rsidRPr="009E4E5F" w:rsidRDefault="006137B5" w:rsidP="006137B5">
      <w:pPr>
        <w:rPr>
          <w:rFonts w:ascii="宋体" w:eastAsia="宋体" w:hAnsi="宋体" w:cs="宋体"/>
          <w:b/>
          <w:color w:val="FF0000"/>
          <w:szCs w:val="21"/>
        </w:rPr>
      </w:pPr>
      <w:r w:rsidRPr="009E4E5F">
        <w:rPr>
          <w:rFonts w:ascii="宋体" w:eastAsia="宋体" w:hAnsi="宋体" w:cs="宋体"/>
          <w:b/>
          <w:color w:val="FF0000"/>
          <w:szCs w:val="21"/>
        </w:rPr>
        <w:t>1</w:t>
      </w:r>
      <w:r w:rsidR="007844B7">
        <w:rPr>
          <w:rFonts w:ascii="宋体" w:eastAsia="宋体" w:hAnsi="宋体" w:cs="宋体"/>
          <w:b/>
          <w:color w:val="FF0000"/>
          <w:szCs w:val="21"/>
        </w:rPr>
        <w:t>4</w:t>
      </w:r>
      <w:r w:rsidRPr="009E4E5F">
        <w:rPr>
          <w:rFonts w:ascii="宋体" w:eastAsia="宋体" w:hAnsi="宋体" w:cs="宋体"/>
          <w:b/>
          <w:color w:val="FF0000"/>
          <w:szCs w:val="21"/>
        </w:rPr>
        <w:t xml:space="preserve">. Front Microbiol. 2025 Aug 20;16:1653031. doi: 10.3389/fmicb.2025.1653031. </w:t>
      </w:r>
    </w:p>
    <w:p w:rsidR="006137B5" w:rsidRPr="009E4E5F" w:rsidRDefault="006137B5" w:rsidP="006137B5">
      <w:pPr>
        <w:rPr>
          <w:rFonts w:ascii="宋体" w:eastAsia="宋体" w:hAnsi="宋体" w:cs="宋体"/>
          <w:b/>
          <w:color w:val="FF0000"/>
          <w:szCs w:val="21"/>
        </w:rPr>
      </w:pPr>
      <w:r w:rsidRPr="009E4E5F">
        <w:rPr>
          <w:rFonts w:ascii="宋体" w:eastAsia="宋体" w:hAnsi="宋体" w:cs="宋体"/>
          <w:b/>
          <w:color w:val="FF0000"/>
          <w:szCs w:val="21"/>
        </w:rPr>
        <w:t>eCollection 2025.</w:t>
      </w:r>
    </w:p>
    <w:p w:rsidR="006137B5" w:rsidRPr="006137B5" w:rsidRDefault="006137B5" w:rsidP="006137B5">
      <w:pPr>
        <w:rPr>
          <w:rFonts w:ascii="宋体" w:eastAsia="宋体" w:hAnsi="宋体" w:cs="宋体"/>
          <w:szCs w:val="21"/>
        </w:rPr>
      </w:pP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Value of urinary lipoarabinomannan levels for tuberculosis diagnosis and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monitoring of therapy.</w:t>
      </w:r>
    </w:p>
    <w:p w:rsidR="006137B5" w:rsidRPr="006137B5" w:rsidRDefault="006137B5" w:rsidP="006137B5">
      <w:pPr>
        <w:rPr>
          <w:rFonts w:ascii="宋体" w:eastAsia="宋体" w:hAnsi="宋体" w:cs="宋体"/>
          <w:szCs w:val="21"/>
        </w:rPr>
      </w:pP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Xiong Y(#)(1), Shen Z(#)(1), Dong B(1), Wang Y(1), Zhu Y(1), Wei H(2), Zhang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D(3), Che Y(3).</w:t>
      </w:r>
    </w:p>
    <w:p w:rsidR="006137B5" w:rsidRDefault="006137B5" w:rsidP="006137B5">
      <w:pPr>
        <w:rPr>
          <w:rFonts w:ascii="宋体" w:eastAsia="宋体" w:hAnsi="宋体" w:cs="宋体"/>
          <w:szCs w:val="21"/>
        </w:rPr>
      </w:pPr>
    </w:p>
    <w:p w:rsidR="0094712F" w:rsidRPr="0094712F" w:rsidRDefault="0094712F" w:rsidP="006137B5">
      <w:pPr>
        <w:rPr>
          <w:rFonts w:ascii="宋体" w:eastAsia="宋体" w:hAnsi="宋体" w:cs="宋体"/>
          <w:b/>
          <w:color w:val="0070C0"/>
          <w:szCs w:val="21"/>
        </w:rPr>
      </w:pPr>
      <w:r w:rsidRPr="0094712F">
        <w:rPr>
          <w:rFonts w:ascii="宋体" w:eastAsia="宋体" w:hAnsi="宋体" w:cs="宋体"/>
          <w:b/>
          <w:color w:val="0070C0"/>
          <w:szCs w:val="21"/>
        </w:rPr>
        <w:t>Yiqun Xiong, Zhihong Shen, Bo Dong, Ying Wang, Ying Zhu, Hongxia Wei</w:t>
      </w:r>
      <w:r w:rsidRPr="0094712F">
        <w:rPr>
          <w:rFonts w:ascii="宋体" w:eastAsia="宋体" w:hAnsi="宋体" w:cs="宋体" w:hint="eastAsia"/>
          <w:b/>
          <w:color w:val="0070C0"/>
          <w:szCs w:val="21"/>
        </w:rPr>
        <w:t>*</w:t>
      </w:r>
      <w:r w:rsidRPr="0094712F">
        <w:rPr>
          <w:rFonts w:ascii="宋体" w:eastAsia="宋体" w:hAnsi="宋体" w:cs="宋体"/>
          <w:b/>
          <w:color w:val="0070C0"/>
          <w:szCs w:val="21"/>
        </w:rPr>
        <w:t>, Dongliang Zhang</w:t>
      </w:r>
      <w:r w:rsidRPr="0094712F">
        <w:rPr>
          <w:rFonts w:ascii="宋体" w:eastAsia="宋体" w:hAnsi="宋体" w:cs="宋体" w:hint="eastAsia"/>
          <w:b/>
          <w:color w:val="0070C0"/>
          <w:szCs w:val="21"/>
        </w:rPr>
        <w:t>*</w:t>
      </w:r>
      <w:r w:rsidRPr="0094712F">
        <w:rPr>
          <w:rFonts w:ascii="宋体" w:eastAsia="宋体" w:hAnsi="宋体" w:cs="宋体"/>
          <w:b/>
          <w:color w:val="0070C0"/>
          <w:szCs w:val="21"/>
        </w:rPr>
        <w:t>, Yang Che</w:t>
      </w:r>
      <w:r w:rsidRPr="0094712F">
        <w:rPr>
          <w:rFonts w:ascii="宋体" w:eastAsia="宋体" w:hAnsi="宋体" w:cs="宋体" w:hint="eastAsia"/>
          <w:b/>
          <w:color w:val="0070C0"/>
          <w:szCs w:val="21"/>
        </w:rPr>
        <w:t>*</w:t>
      </w:r>
    </w:p>
    <w:p w:rsidR="0094712F" w:rsidRPr="0094712F" w:rsidRDefault="0094712F" w:rsidP="0094712F">
      <w:pPr>
        <w:jc w:val="left"/>
        <w:rPr>
          <w:rFonts w:ascii="宋体" w:eastAsia="宋体" w:hAnsi="宋体" w:cs="宋体"/>
          <w:b/>
          <w:color w:val="0070C0"/>
          <w:szCs w:val="21"/>
        </w:rPr>
      </w:pPr>
      <w:r w:rsidRPr="0094712F">
        <w:rPr>
          <w:rFonts w:ascii="宋体" w:eastAsia="宋体" w:hAnsi="宋体" w:cs="宋体"/>
          <w:b/>
          <w:color w:val="0070C0"/>
          <w:szCs w:val="21"/>
        </w:rPr>
        <w:t>*CORRESPONDENCE Yang Che</w:t>
      </w:r>
      <w:r w:rsidRPr="0094712F">
        <w:rPr>
          <w:rFonts w:ascii="宋体" w:eastAsia="宋体" w:hAnsi="宋体" w:cs="宋体" w:hint="eastAsia"/>
          <w:b/>
          <w:color w:val="0070C0"/>
          <w:szCs w:val="21"/>
        </w:rPr>
        <w:t>，</w:t>
      </w:r>
      <w:r w:rsidRPr="0094712F">
        <w:rPr>
          <w:rFonts w:ascii="宋体" w:eastAsia="宋体" w:hAnsi="宋体" w:cs="宋体"/>
          <w:b/>
          <w:color w:val="0070C0"/>
          <w:szCs w:val="21"/>
        </w:rPr>
        <w:t xml:space="preserve"> 13805876046@163.com </w:t>
      </w:r>
      <w:r w:rsidRPr="0094712F">
        <w:rPr>
          <w:rFonts w:ascii="宋体" w:eastAsia="宋体" w:hAnsi="宋体" w:cs="宋体" w:hint="eastAsia"/>
          <w:b/>
          <w:color w:val="0070C0"/>
          <w:szCs w:val="21"/>
        </w:rPr>
        <w:t>；</w:t>
      </w:r>
      <w:r w:rsidRPr="0094712F">
        <w:rPr>
          <w:rFonts w:ascii="宋体" w:eastAsia="宋体" w:hAnsi="宋体" w:cs="宋体"/>
          <w:b/>
          <w:color w:val="0070C0"/>
          <w:szCs w:val="21"/>
        </w:rPr>
        <w:t>Dongliang Zhang</w:t>
      </w:r>
      <w:r w:rsidRPr="0094712F">
        <w:rPr>
          <w:rFonts w:ascii="宋体" w:eastAsia="宋体" w:hAnsi="宋体" w:cs="宋体" w:hint="eastAsia"/>
          <w:b/>
          <w:color w:val="0070C0"/>
          <w:szCs w:val="21"/>
        </w:rPr>
        <w:t>，</w:t>
      </w:r>
      <w:r w:rsidRPr="0094712F">
        <w:rPr>
          <w:rFonts w:ascii="宋体" w:eastAsia="宋体" w:hAnsi="宋体" w:cs="宋体"/>
          <w:b/>
          <w:color w:val="0070C0"/>
          <w:szCs w:val="21"/>
        </w:rPr>
        <w:t xml:space="preserve"> zhangdongliang012345@sina.com </w:t>
      </w:r>
      <w:r w:rsidRPr="0094712F">
        <w:rPr>
          <w:rFonts w:ascii="宋体" w:eastAsia="宋体" w:hAnsi="宋体" w:cs="宋体" w:hint="eastAsia"/>
          <w:b/>
          <w:color w:val="0070C0"/>
          <w:szCs w:val="21"/>
        </w:rPr>
        <w:t>；</w:t>
      </w:r>
      <w:r w:rsidRPr="0094712F">
        <w:rPr>
          <w:rFonts w:ascii="宋体" w:eastAsia="宋体" w:hAnsi="宋体" w:cs="宋体"/>
          <w:b/>
          <w:color w:val="0070C0"/>
          <w:szCs w:val="21"/>
        </w:rPr>
        <w:t>Hongxia Wei</w:t>
      </w:r>
      <w:r w:rsidRPr="0094712F">
        <w:rPr>
          <w:rFonts w:ascii="宋体" w:eastAsia="宋体" w:hAnsi="宋体" w:cs="宋体" w:hint="eastAsia"/>
          <w:b/>
          <w:color w:val="0070C0"/>
          <w:szCs w:val="21"/>
        </w:rPr>
        <w:t>，</w:t>
      </w:r>
      <w:r w:rsidRPr="0094712F">
        <w:rPr>
          <w:rFonts w:ascii="宋体" w:eastAsia="宋体" w:hAnsi="宋体" w:cs="宋体"/>
          <w:b/>
          <w:color w:val="0070C0"/>
          <w:szCs w:val="21"/>
        </w:rPr>
        <w:t xml:space="preserve"> 13247385392@163.com</w:t>
      </w:r>
    </w:p>
    <w:p w:rsidR="0094712F" w:rsidRDefault="0094712F" w:rsidP="006137B5">
      <w:pPr>
        <w:rPr>
          <w:rFonts w:ascii="宋体" w:eastAsia="宋体" w:hAnsi="宋体" w:cs="宋体"/>
          <w:szCs w:val="21"/>
        </w:rPr>
      </w:pPr>
    </w:p>
    <w:p w:rsidR="006137B5" w:rsidRPr="006137B5" w:rsidRDefault="006137B5" w:rsidP="006137B5">
      <w:pPr>
        <w:rPr>
          <w:rFonts w:ascii="宋体" w:eastAsia="宋体" w:hAnsi="宋体" w:cs="宋体"/>
          <w:szCs w:val="21"/>
        </w:rPr>
      </w:pPr>
      <w:r w:rsidRPr="006137B5">
        <w:rPr>
          <w:rFonts w:ascii="宋体" w:eastAsia="宋体" w:hAnsi="宋体" w:cs="宋体"/>
          <w:szCs w:val="21"/>
        </w:rPr>
        <w:t>Author information:</w:t>
      </w:r>
    </w:p>
    <w:p w:rsidR="006137B5" w:rsidRPr="006137B5" w:rsidRDefault="006137B5" w:rsidP="006137B5">
      <w:pPr>
        <w:rPr>
          <w:rFonts w:ascii="宋体" w:eastAsia="宋体" w:hAnsi="宋体" w:cs="宋体"/>
          <w:szCs w:val="21"/>
        </w:rPr>
      </w:pPr>
      <w:r w:rsidRPr="006137B5">
        <w:rPr>
          <w:rFonts w:ascii="宋体" w:eastAsia="宋体" w:hAnsi="宋体" w:cs="宋体"/>
          <w:szCs w:val="21"/>
        </w:rPr>
        <w:t>(1)Department of Infection, Ningbo Yinzhou No.2 Hospital, Ningbo, China.</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(2)Graduate School, Lyceum of the Philippines University - Batangas, Batangas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City, Philippines.</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(3)Institute of Tuberculosis Prevention and Control, Ningbo Municipal Center for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Disease Control and Prevention, Ningbo, China.</w:t>
      </w:r>
    </w:p>
    <w:p w:rsidR="006137B5" w:rsidRPr="006137B5" w:rsidRDefault="006137B5" w:rsidP="006137B5">
      <w:pPr>
        <w:rPr>
          <w:rFonts w:ascii="宋体" w:eastAsia="宋体" w:hAnsi="宋体" w:cs="宋体"/>
          <w:szCs w:val="21"/>
        </w:rPr>
      </w:pPr>
      <w:r w:rsidRPr="006137B5">
        <w:rPr>
          <w:rFonts w:ascii="宋体" w:eastAsia="宋体" w:hAnsi="宋体" w:cs="宋体"/>
          <w:szCs w:val="21"/>
        </w:rPr>
        <w:t>(#)Contributed equally</w:t>
      </w:r>
    </w:p>
    <w:p w:rsidR="006137B5" w:rsidRPr="006137B5" w:rsidRDefault="006137B5" w:rsidP="006137B5">
      <w:pPr>
        <w:rPr>
          <w:rFonts w:ascii="宋体" w:eastAsia="宋体" w:hAnsi="宋体" w:cs="宋体"/>
          <w:szCs w:val="21"/>
        </w:rPr>
      </w:pPr>
    </w:p>
    <w:p w:rsidR="006137B5" w:rsidRPr="006137B5" w:rsidRDefault="006137B5" w:rsidP="006137B5">
      <w:pPr>
        <w:rPr>
          <w:rFonts w:ascii="宋体" w:eastAsia="宋体" w:hAnsi="宋体" w:cs="宋体"/>
          <w:szCs w:val="21"/>
        </w:rPr>
      </w:pPr>
      <w:r w:rsidRPr="009E4E5F">
        <w:rPr>
          <w:rFonts w:ascii="宋体" w:eastAsia="宋体" w:hAnsi="宋体" w:cs="宋体"/>
          <w:b/>
          <w:szCs w:val="21"/>
        </w:rPr>
        <w:t>BACKGROUND:</w:t>
      </w:r>
      <w:r w:rsidRPr="006137B5">
        <w:rPr>
          <w:rFonts w:ascii="宋体" w:eastAsia="宋体" w:hAnsi="宋体" w:cs="宋体"/>
          <w:szCs w:val="21"/>
        </w:rPr>
        <w:t xml:space="preserve"> The urinary lipoarabinomannan (LAM) assay has emerged as a promising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tool for tuberculosis (TB) diagnosis and treatment monitoring. This study aimed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to evaluate the diagnostic and monitoring performance of LAM compared to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Acid-fast bacilli (AFB), Mycobacteria Growth Indicator Tube (MGIT), and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GeneXpert, and to establish its clinical utility in a stratified TB population.</w:t>
      </w:r>
    </w:p>
    <w:p w:rsidR="006137B5" w:rsidRPr="006137B5" w:rsidRDefault="006137B5" w:rsidP="006137B5">
      <w:pPr>
        <w:rPr>
          <w:rFonts w:ascii="宋体" w:eastAsia="宋体" w:hAnsi="宋体" w:cs="宋体"/>
          <w:szCs w:val="21"/>
        </w:rPr>
      </w:pPr>
      <w:r w:rsidRPr="009E4E5F">
        <w:rPr>
          <w:rFonts w:ascii="宋体" w:eastAsia="宋体" w:hAnsi="宋体" w:cs="宋体"/>
          <w:b/>
          <w:szCs w:val="21"/>
        </w:rPr>
        <w:t xml:space="preserve">METHODS: </w:t>
      </w:r>
      <w:r w:rsidRPr="006137B5">
        <w:rPr>
          <w:rFonts w:ascii="宋体" w:eastAsia="宋体" w:hAnsi="宋体" w:cs="宋体"/>
          <w:szCs w:val="21"/>
        </w:rPr>
        <w:t xml:space="preserve">A prospective cohort study included TB patients stratified by AFB/MGIT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status into three groups. Diagnostic accuracy was tested against composite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reference standard (CRS). Early monitoring performance was assessed via serial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LAM measurements during 12-week treatment. ROC/KM/Cox analyses determined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optimal thresholds and predictors of LAM conversion.</w:t>
      </w:r>
    </w:p>
    <w:p w:rsidR="006137B5" w:rsidRPr="006137B5" w:rsidRDefault="006137B5" w:rsidP="006137B5">
      <w:pPr>
        <w:rPr>
          <w:rFonts w:ascii="宋体" w:eastAsia="宋体" w:hAnsi="宋体" w:cs="宋体"/>
          <w:szCs w:val="21"/>
        </w:rPr>
      </w:pPr>
      <w:r w:rsidRPr="009E4E5F">
        <w:rPr>
          <w:rFonts w:ascii="宋体" w:eastAsia="宋体" w:hAnsi="宋体" w:cs="宋体"/>
          <w:b/>
          <w:szCs w:val="21"/>
        </w:rPr>
        <w:t xml:space="preserve">RESULTS: </w:t>
      </w:r>
      <w:r w:rsidRPr="006137B5">
        <w:rPr>
          <w:rFonts w:ascii="宋体" w:eastAsia="宋体" w:hAnsi="宋体" w:cs="宋体"/>
          <w:szCs w:val="21"/>
        </w:rPr>
        <w:t xml:space="preserve">Against CRS, LAM demonstrated a sensitivity of 58.75%, which was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numerically higher than AFB smear (45.00%, p</w:t>
      </w:r>
      <w:r w:rsidRPr="006137B5">
        <w:rPr>
          <w:rFonts w:ascii="Times New Roman" w:eastAsia="宋体" w:hAnsi="Times New Roman" w:cs="Times New Roman"/>
          <w:szCs w:val="21"/>
        </w:rPr>
        <w:t> </w:t>
      </w:r>
      <w:r w:rsidRPr="006137B5">
        <w:rPr>
          <w:rFonts w:ascii="宋体" w:eastAsia="宋体" w:hAnsi="宋体" w:cs="宋体"/>
          <w:szCs w:val="21"/>
        </w:rPr>
        <w:t>=</w:t>
      </w:r>
      <w:r w:rsidRPr="006137B5">
        <w:rPr>
          <w:rFonts w:ascii="Times New Roman" w:eastAsia="宋体" w:hAnsi="Times New Roman" w:cs="Times New Roman"/>
          <w:szCs w:val="21"/>
        </w:rPr>
        <w:t> </w:t>
      </w:r>
      <w:r w:rsidRPr="006137B5">
        <w:rPr>
          <w:rFonts w:ascii="宋体" w:eastAsia="宋体" w:hAnsi="宋体" w:cs="宋体"/>
          <w:szCs w:val="21"/>
        </w:rPr>
        <w:t xml:space="preserve">0.082) and comparable to MGIT </w:t>
      </w:r>
    </w:p>
    <w:p w:rsidR="006137B5" w:rsidRPr="006137B5" w:rsidRDefault="006137B5" w:rsidP="006137B5">
      <w:pPr>
        <w:rPr>
          <w:rFonts w:ascii="宋体" w:eastAsia="宋体" w:hAnsi="宋体" w:cs="宋体"/>
          <w:szCs w:val="21"/>
        </w:rPr>
      </w:pPr>
      <w:r w:rsidRPr="006137B5">
        <w:rPr>
          <w:rFonts w:ascii="宋体" w:eastAsia="宋体" w:hAnsi="宋体" w:cs="宋体"/>
          <w:szCs w:val="21"/>
        </w:rPr>
        <w:lastRenderedPageBreak/>
        <w:t>culture (58.75%, p</w:t>
      </w:r>
      <w:r w:rsidRPr="006137B5">
        <w:rPr>
          <w:rFonts w:ascii="Times New Roman" w:eastAsia="宋体" w:hAnsi="Times New Roman" w:cs="Times New Roman"/>
          <w:szCs w:val="21"/>
        </w:rPr>
        <w:t> </w:t>
      </w:r>
      <w:r w:rsidRPr="006137B5">
        <w:rPr>
          <w:rFonts w:ascii="宋体" w:eastAsia="宋体" w:hAnsi="宋体" w:cs="宋体"/>
          <w:szCs w:val="21"/>
        </w:rPr>
        <w:t>=</w:t>
      </w:r>
      <w:r w:rsidRPr="006137B5">
        <w:rPr>
          <w:rFonts w:ascii="Times New Roman" w:eastAsia="宋体" w:hAnsi="Times New Roman" w:cs="Times New Roman"/>
          <w:szCs w:val="21"/>
        </w:rPr>
        <w:t> </w:t>
      </w:r>
      <w:r w:rsidRPr="006137B5">
        <w:rPr>
          <w:rFonts w:ascii="宋体" w:eastAsia="宋体" w:hAnsi="宋体" w:cs="宋体"/>
          <w:szCs w:val="21"/>
        </w:rPr>
        <w:t xml:space="preserve">1.00), but numerically lower than GeneXpert (61.25%,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p</w:t>
      </w:r>
      <w:r w:rsidRPr="006137B5">
        <w:rPr>
          <w:rFonts w:ascii="Times New Roman" w:eastAsia="宋体" w:hAnsi="Times New Roman" w:cs="Times New Roman"/>
          <w:szCs w:val="21"/>
        </w:rPr>
        <w:t> </w:t>
      </w:r>
      <w:r w:rsidRPr="006137B5">
        <w:rPr>
          <w:rFonts w:ascii="宋体" w:eastAsia="宋体" w:hAnsi="宋体" w:cs="宋体"/>
          <w:szCs w:val="21"/>
        </w:rPr>
        <w:t>=</w:t>
      </w:r>
      <w:r w:rsidRPr="006137B5">
        <w:rPr>
          <w:rFonts w:ascii="Times New Roman" w:eastAsia="宋体" w:hAnsi="Times New Roman" w:cs="Times New Roman"/>
          <w:szCs w:val="21"/>
        </w:rPr>
        <w:t> </w:t>
      </w:r>
      <w:r w:rsidRPr="006137B5">
        <w:rPr>
          <w:rFonts w:ascii="宋体" w:eastAsia="宋体" w:hAnsi="宋体" w:cs="宋体"/>
          <w:szCs w:val="21"/>
        </w:rPr>
        <w:t xml:space="preserve">0.205). In the early monitoring phase, LAM showed sustained positivity in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11.54-51.72% at week 12, compared to &lt;15% for other methods. The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diagnostic-monitoring quadrant analysis revealed LAM's optimal positioning for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monitoring (mean conversion time 4.63-11.49</w:t>
      </w:r>
      <w:r w:rsidRPr="006137B5">
        <w:rPr>
          <w:rFonts w:ascii="Times New Roman" w:eastAsia="宋体" w:hAnsi="Times New Roman" w:cs="Times New Roman"/>
          <w:szCs w:val="21"/>
        </w:rPr>
        <w:t> </w:t>
      </w:r>
      <w:r w:rsidRPr="006137B5">
        <w:rPr>
          <w:rFonts w:ascii="宋体" w:eastAsia="宋体" w:hAnsi="宋体" w:cs="宋体"/>
          <w:szCs w:val="21"/>
        </w:rPr>
        <w:t>weeks), compared to 0-8.25</w:t>
      </w:r>
      <w:r w:rsidRPr="006137B5">
        <w:rPr>
          <w:rFonts w:ascii="Times New Roman" w:eastAsia="宋体" w:hAnsi="Times New Roman" w:cs="Times New Roman"/>
          <w:szCs w:val="21"/>
        </w:rPr>
        <w:t> </w:t>
      </w:r>
      <w:r w:rsidRPr="006137B5">
        <w:rPr>
          <w:rFonts w:ascii="宋体" w:eastAsia="宋体" w:hAnsi="宋体" w:cs="宋体"/>
          <w:szCs w:val="21"/>
        </w:rPr>
        <w:t xml:space="preserve">weeks for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other methods. A combined model incorporating baseline PreLAM and week 4 change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(ΔLAM) showed the highest predictive value for 12</w:t>
      </w:r>
      <w:r w:rsidRPr="006137B5">
        <w:rPr>
          <w:rFonts w:ascii="Times New Roman" w:eastAsia="宋体" w:hAnsi="Times New Roman" w:cs="Times New Roman"/>
          <w:szCs w:val="21"/>
        </w:rPr>
        <w:t> </w:t>
      </w:r>
      <w:r w:rsidRPr="006137B5">
        <w:rPr>
          <w:rFonts w:ascii="宋体" w:eastAsia="宋体" w:hAnsi="宋体" w:cs="宋体"/>
          <w:szCs w:val="21"/>
        </w:rPr>
        <w:t xml:space="preserve">weeks conversion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(AUC</w:t>
      </w:r>
      <w:r w:rsidRPr="006137B5">
        <w:rPr>
          <w:rFonts w:ascii="Times New Roman" w:eastAsia="宋体" w:hAnsi="Times New Roman" w:cs="Times New Roman"/>
          <w:szCs w:val="21"/>
        </w:rPr>
        <w:t> </w:t>
      </w:r>
      <w:r w:rsidRPr="006137B5">
        <w:rPr>
          <w:rFonts w:ascii="宋体" w:eastAsia="宋体" w:hAnsi="宋体" w:cs="宋体"/>
          <w:szCs w:val="21"/>
        </w:rPr>
        <w:t>=</w:t>
      </w:r>
      <w:r w:rsidRPr="006137B5">
        <w:rPr>
          <w:rFonts w:ascii="Times New Roman" w:eastAsia="宋体" w:hAnsi="Times New Roman" w:cs="Times New Roman"/>
          <w:szCs w:val="21"/>
        </w:rPr>
        <w:t> </w:t>
      </w:r>
      <w:r w:rsidRPr="006137B5">
        <w:rPr>
          <w:rFonts w:ascii="宋体" w:eastAsia="宋体" w:hAnsi="宋体" w:cs="宋体"/>
          <w:szCs w:val="21"/>
        </w:rPr>
        <w:t xml:space="preserve">0.871-0.943). Multivariate cox analysis identified </w:t>
      </w:r>
      <w:r w:rsidRPr="006137B5">
        <w:rPr>
          <w:rFonts w:ascii="宋体" w:eastAsia="宋体" w:hAnsi="宋体" w:cs="宋体" w:hint="eastAsia"/>
          <w:szCs w:val="21"/>
        </w:rPr>
        <w:t>Δ</w:t>
      </w:r>
      <w:r w:rsidRPr="006137B5">
        <w:rPr>
          <w:rFonts w:ascii="宋体" w:eastAsia="宋体" w:hAnsi="宋体" w:cs="宋体"/>
          <w:szCs w:val="21"/>
        </w:rPr>
        <w:t xml:space="preserve">LAM as independent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predictors in total cohort (HR</w:t>
      </w:r>
      <w:r w:rsidRPr="006137B5">
        <w:rPr>
          <w:rFonts w:ascii="Times New Roman" w:eastAsia="宋体" w:hAnsi="Times New Roman" w:cs="Times New Roman"/>
          <w:szCs w:val="21"/>
        </w:rPr>
        <w:t> </w:t>
      </w:r>
      <w:r w:rsidRPr="006137B5">
        <w:rPr>
          <w:rFonts w:ascii="宋体" w:eastAsia="宋体" w:hAnsi="宋体" w:cs="宋体"/>
          <w:szCs w:val="21"/>
        </w:rPr>
        <w:t>=</w:t>
      </w:r>
      <w:r w:rsidRPr="006137B5">
        <w:rPr>
          <w:rFonts w:ascii="Times New Roman" w:eastAsia="宋体" w:hAnsi="Times New Roman" w:cs="Times New Roman"/>
          <w:szCs w:val="21"/>
        </w:rPr>
        <w:t> </w:t>
      </w:r>
      <w:r w:rsidRPr="006137B5">
        <w:rPr>
          <w:rFonts w:ascii="宋体" w:eastAsia="宋体" w:hAnsi="宋体" w:cs="宋体"/>
          <w:szCs w:val="21"/>
        </w:rPr>
        <w:t>0.013, p</w:t>
      </w:r>
      <w:r w:rsidRPr="006137B5">
        <w:rPr>
          <w:rFonts w:ascii="Times New Roman" w:eastAsia="宋体" w:hAnsi="Times New Roman" w:cs="Times New Roman"/>
          <w:szCs w:val="21"/>
        </w:rPr>
        <w:t> </w:t>
      </w:r>
      <w:r w:rsidRPr="006137B5">
        <w:rPr>
          <w:rFonts w:ascii="宋体" w:eastAsia="宋体" w:hAnsi="宋体" w:cs="宋体"/>
          <w:szCs w:val="21"/>
        </w:rPr>
        <w:t>=</w:t>
      </w:r>
      <w:r w:rsidRPr="006137B5">
        <w:rPr>
          <w:rFonts w:ascii="Times New Roman" w:eastAsia="宋体" w:hAnsi="Times New Roman" w:cs="Times New Roman"/>
          <w:szCs w:val="21"/>
        </w:rPr>
        <w:t> </w:t>
      </w:r>
      <w:r w:rsidRPr="006137B5">
        <w:rPr>
          <w:rFonts w:ascii="宋体" w:eastAsia="宋体" w:hAnsi="宋体" w:cs="宋体"/>
          <w:szCs w:val="21"/>
        </w:rPr>
        <w:t xml:space="preserve">0.001) and double positive group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(HR</w:t>
      </w:r>
      <w:r w:rsidRPr="006137B5">
        <w:rPr>
          <w:rFonts w:ascii="Times New Roman" w:eastAsia="宋体" w:hAnsi="Times New Roman" w:cs="Times New Roman"/>
          <w:szCs w:val="21"/>
        </w:rPr>
        <w:t> </w:t>
      </w:r>
      <w:r w:rsidRPr="006137B5">
        <w:rPr>
          <w:rFonts w:ascii="宋体" w:eastAsia="宋体" w:hAnsi="宋体" w:cs="宋体"/>
          <w:szCs w:val="21"/>
        </w:rPr>
        <w:t>=</w:t>
      </w:r>
      <w:r w:rsidRPr="006137B5">
        <w:rPr>
          <w:rFonts w:ascii="Times New Roman" w:eastAsia="宋体" w:hAnsi="Times New Roman" w:cs="Times New Roman"/>
          <w:szCs w:val="21"/>
        </w:rPr>
        <w:t> </w:t>
      </w:r>
      <w:r w:rsidRPr="006137B5">
        <w:rPr>
          <w:rFonts w:ascii="宋体" w:eastAsia="宋体" w:hAnsi="宋体" w:cs="宋体"/>
          <w:szCs w:val="21"/>
        </w:rPr>
        <w:t>0.020, p</w:t>
      </w:r>
      <w:r w:rsidRPr="006137B5">
        <w:rPr>
          <w:rFonts w:ascii="Times New Roman" w:eastAsia="宋体" w:hAnsi="Times New Roman" w:cs="Times New Roman"/>
          <w:szCs w:val="21"/>
        </w:rPr>
        <w:t> </w:t>
      </w:r>
      <w:r w:rsidRPr="006137B5">
        <w:rPr>
          <w:rFonts w:ascii="宋体" w:eastAsia="宋体" w:hAnsi="宋体" w:cs="宋体"/>
          <w:szCs w:val="21"/>
        </w:rPr>
        <w:t>=</w:t>
      </w:r>
      <w:r w:rsidRPr="006137B5">
        <w:rPr>
          <w:rFonts w:ascii="Times New Roman" w:eastAsia="宋体" w:hAnsi="Times New Roman" w:cs="Times New Roman"/>
          <w:szCs w:val="21"/>
        </w:rPr>
        <w:t> </w:t>
      </w:r>
      <w:r w:rsidRPr="006137B5">
        <w:rPr>
          <w:rFonts w:ascii="宋体" w:eastAsia="宋体" w:hAnsi="宋体" w:cs="宋体"/>
          <w:szCs w:val="21"/>
        </w:rPr>
        <w:t>0.002).</w:t>
      </w:r>
    </w:p>
    <w:p w:rsidR="006137B5" w:rsidRPr="006137B5" w:rsidRDefault="006137B5" w:rsidP="006137B5">
      <w:pPr>
        <w:rPr>
          <w:rFonts w:ascii="宋体" w:eastAsia="宋体" w:hAnsi="宋体" w:cs="宋体"/>
          <w:szCs w:val="21"/>
        </w:rPr>
      </w:pPr>
      <w:r w:rsidRPr="009E4E5F">
        <w:rPr>
          <w:rFonts w:ascii="宋体" w:eastAsia="宋体" w:hAnsi="宋体" w:cs="宋体"/>
          <w:b/>
          <w:szCs w:val="21"/>
        </w:rPr>
        <w:t xml:space="preserve">CONCLUSION: </w:t>
      </w:r>
      <w:r w:rsidRPr="006137B5">
        <w:rPr>
          <w:rFonts w:ascii="宋体" w:eastAsia="宋体" w:hAnsi="宋体" w:cs="宋体"/>
          <w:szCs w:val="21"/>
        </w:rPr>
        <w:t xml:space="preserve">Urinary LAM serves as a dual-role biomarker, providing moderate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diagnostic sensitivity and dynamic monitoring signals reflecting early bacillary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response to therapy. The PreLAM+ΔLAM model enables early treatment response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assessment for personalized therapy.</w:t>
      </w:r>
    </w:p>
    <w:p w:rsidR="006137B5" w:rsidRPr="006137B5" w:rsidRDefault="006137B5" w:rsidP="006137B5">
      <w:pPr>
        <w:rPr>
          <w:rFonts w:ascii="宋体" w:eastAsia="宋体" w:hAnsi="宋体" w:cs="宋体"/>
          <w:szCs w:val="21"/>
        </w:rPr>
      </w:pPr>
    </w:p>
    <w:p w:rsidR="006137B5" w:rsidRPr="006137B5" w:rsidRDefault="006137B5" w:rsidP="006137B5">
      <w:pPr>
        <w:rPr>
          <w:rFonts w:ascii="宋体" w:eastAsia="宋体" w:hAnsi="宋体" w:cs="宋体"/>
          <w:szCs w:val="21"/>
        </w:rPr>
      </w:pPr>
      <w:r w:rsidRPr="006137B5">
        <w:rPr>
          <w:rFonts w:ascii="宋体" w:eastAsia="宋体" w:hAnsi="宋体" w:cs="宋体"/>
          <w:szCs w:val="21"/>
        </w:rPr>
        <w:t>Copyright © 2025 Xiong, Shen, Dong, Wang, Zhu, Wei, Zhang and Che.</w:t>
      </w:r>
    </w:p>
    <w:p w:rsidR="006137B5" w:rsidRPr="006137B5" w:rsidRDefault="006137B5" w:rsidP="006137B5">
      <w:pPr>
        <w:rPr>
          <w:rFonts w:ascii="宋体" w:eastAsia="宋体" w:hAnsi="宋体" w:cs="宋体"/>
          <w:szCs w:val="21"/>
        </w:rPr>
      </w:pPr>
    </w:p>
    <w:p w:rsidR="006137B5" w:rsidRPr="006137B5" w:rsidRDefault="006137B5" w:rsidP="006137B5">
      <w:pPr>
        <w:rPr>
          <w:rFonts w:ascii="宋体" w:eastAsia="宋体" w:hAnsi="宋体" w:cs="宋体"/>
          <w:szCs w:val="21"/>
        </w:rPr>
      </w:pPr>
      <w:r w:rsidRPr="006137B5">
        <w:rPr>
          <w:rFonts w:ascii="宋体" w:eastAsia="宋体" w:hAnsi="宋体" w:cs="宋体"/>
          <w:szCs w:val="21"/>
        </w:rPr>
        <w:t>DOI: 10.3389/fmicb.2025.1653031</w:t>
      </w:r>
    </w:p>
    <w:p w:rsidR="006137B5" w:rsidRPr="006137B5" w:rsidRDefault="006137B5" w:rsidP="006137B5">
      <w:pPr>
        <w:rPr>
          <w:rFonts w:ascii="宋体" w:eastAsia="宋体" w:hAnsi="宋体" w:cs="宋体"/>
          <w:szCs w:val="21"/>
        </w:rPr>
      </w:pPr>
      <w:r w:rsidRPr="006137B5">
        <w:rPr>
          <w:rFonts w:ascii="宋体" w:eastAsia="宋体" w:hAnsi="宋体" w:cs="宋体"/>
          <w:szCs w:val="21"/>
        </w:rPr>
        <w:t>PMCID: PMC12405177</w:t>
      </w:r>
    </w:p>
    <w:p w:rsidR="006137B5" w:rsidRPr="006137B5" w:rsidRDefault="006137B5" w:rsidP="006137B5">
      <w:pPr>
        <w:rPr>
          <w:rFonts w:ascii="宋体" w:eastAsia="宋体" w:hAnsi="宋体" w:cs="宋体"/>
          <w:szCs w:val="21"/>
        </w:rPr>
      </w:pPr>
      <w:r w:rsidRPr="006137B5">
        <w:rPr>
          <w:rFonts w:ascii="宋体" w:eastAsia="宋体" w:hAnsi="宋体" w:cs="宋体"/>
          <w:szCs w:val="21"/>
        </w:rPr>
        <w:t>PMID: 40909925</w:t>
      </w:r>
    </w:p>
    <w:p w:rsidR="006137B5" w:rsidRPr="006137B5" w:rsidRDefault="006137B5" w:rsidP="006137B5">
      <w:pPr>
        <w:rPr>
          <w:rFonts w:ascii="宋体" w:eastAsia="宋体" w:hAnsi="宋体" w:cs="宋体"/>
          <w:szCs w:val="21"/>
        </w:rPr>
      </w:pPr>
    </w:p>
    <w:p w:rsidR="006137B5" w:rsidRPr="009E4E5F" w:rsidRDefault="007844B7" w:rsidP="006137B5">
      <w:pPr>
        <w:rPr>
          <w:rFonts w:ascii="宋体" w:eastAsia="宋体" w:hAnsi="宋体" w:cs="宋体"/>
          <w:b/>
          <w:color w:val="FF0000"/>
          <w:szCs w:val="21"/>
        </w:rPr>
      </w:pPr>
      <w:r>
        <w:rPr>
          <w:rFonts w:ascii="宋体" w:eastAsia="宋体" w:hAnsi="宋体" w:cs="宋体"/>
          <w:b/>
          <w:color w:val="FF0000"/>
          <w:szCs w:val="21"/>
        </w:rPr>
        <w:t>15</w:t>
      </w:r>
      <w:r w:rsidR="006137B5" w:rsidRPr="009E4E5F">
        <w:rPr>
          <w:rFonts w:ascii="宋体" w:eastAsia="宋体" w:hAnsi="宋体" w:cs="宋体"/>
          <w:b/>
          <w:color w:val="FF0000"/>
          <w:szCs w:val="21"/>
        </w:rPr>
        <w:t xml:space="preserve">. Medicine (Baltimore). 2025 Aug 29;104(35):e44078. doi: </w:t>
      </w:r>
    </w:p>
    <w:p w:rsidR="006137B5" w:rsidRPr="009E4E5F" w:rsidRDefault="006137B5" w:rsidP="006137B5">
      <w:pPr>
        <w:rPr>
          <w:rFonts w:ascii="宋体" w:eastAsia="宋体" w:hAnsi="宋体" w:cs="宋体"/>
          <w:b/>
          <w:color w:val="FF0000"/>
          <w:szCs w:val="21"/>
        </w:rPr>
      </w:pPr>
      <w:r w:rsidRPr="009E4E5F">
        <w:rPr>
          <w:rFonts w:ascii="宋体" w:eastAsia="宋体" w:hAnsi="宋体" w:cs="宋体"/>
          <w:b/>
          <w:color w:val="FF0000"/>
          <w:szCs w:val="21"/>
        </w:rPr>
        <w:t>10.1097/MD.0000000000044078.</w:t>
      </w:r>
    </w:p>
    <w:p w:rsidR="006137B5" w:rsidRPr="006137B5" w:rsidRDefault="006137B5" w:rsidP="006137B5">
      <w:pPr>
        <w:rPr>
          <w:rFonts w:ascii="宋体" w:eastAsia="宋体" w:hAnsi="宋体" w:cs="宋体"/>
          <w:szCs w:val="21"/>
        </w:rPr>
      </w:pP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Influence of metabolic dysfunction-associated steatotic liver disease on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antituberculosis drug-induced liver injury.</w:t>
      </w:r>
    </w:p>
    <w:p w:rsidR="006137B5" w:rsidRPr="006137B5" w:rsidRDefault="006137B5" w:rsidP="006137B5">
      <w:pPr>
        <w:rPr>
          <w:rFonts w:ascii="宋体" w:eastAsia="宋体" w:hAnsi="宋体" w:cs="宋体"/>
          <w:szCs w:val="21"/>
        </w:rPr>
      </w:pPr>
    </w:p>
    <w:p w:rsidR="006137B5" w:rsidRPr="006137B5" w:rsidRDefault="006137B5" w:rsidP="006137B5">
      <w:pPr>
        <w:rPr>
          <w:rFonts w:ascii="宋体" w:eastAsia="宋体" w:hAnsi="宋体" w:cs="宋体"/>
          <w:szCs w:val="21"/>
        </w:rPr>
      </w:pPr>
      <w:r w:rsidRPr="006137B5">
        <w:rPr>
          <w:rFonts w:ascii="宋体" w:eastAsia="宋体" w:hAnsi="宋体" w:cs="宋体"/>
          <w:szCs w:val="21"/>
        </w:rPr>
        <w:t>Shen Y(1), Liu J(2).</w:t>
      </w:r>
    </w:p>
    <w:p w:rsidR="006137B5" w:rsidRDefault="006137B5" w:rsidP="006137B5">
      <w:pPr>
        <w:rPr>
          <w:rFonts w:ascii="宋体" w:eastAsia="宋体" w:hAnsi="宋体" w:cs="宋体"/>
          <w:szCs w:val="21"/>
        </w:rPr>
      </w:pPr>
    </w:p>
    <w:p w:rsidR="007871E6" w:rsidRPr="007871E6" w:rsidRDefault="007871E6" w:rsidP="006137B5">
      <w:pPr>
        <w:rPr>
          <w:rFonts w:ascii="宋体" w:eastAsia="宋体" w:hAnsi="宋体" w:cs="宋体"/>
          <w:b/>
          <w:color w:val="0070C0"/>
          <w:szCs w:val="21"/>
        </w:rPr>
      </w:pPr>
      <w:r w:rsidRPr="007871E6">
        <w:rPr>
          <w:rFonts w:ascii="宋体" w:eastAsia="宋体" w:hAnsi="宋体" w:cs="宋体"/>
          <w:b/>
          <w:color w:val="0070C0"/>
          <w:szCs w:val="21"/>
        </w:rPr>
        <w:t>Yi Shen, Jianping Liu</w:t>
      </w:r>
      <w:r w:rsidRPr="007871E6">
        <w:rPr>
          <w:rFonts w:ascii="宋体" w:eastAsia="宋体" w:hAnsi="宋体" w:cs="宋体" w:hint="eastAsia"/>
          <w:b/>
          <w:color w:val="0070C0"/>
          <w:szCs w:val="21"/>
        </w:rPr>
        <w:t>*</w:t>
      </w:r>
    </w:p>
    <w:p w:rsidR="007871E6" w:rsidRPr="007871E6" w:rsidRDefault="007871E6" w:rsidP="006137B5">
      <w:pPr>
        <w:rPr>
          <w:rFonts w:ascii="宋体" w:eastAsia="宋体" w:hAnsi="宋体" w:cs="宋体"/>
          <w:b/>
          <w:color w:val="0070C0"/>
          <w:szCs w:val="21"/>
        </w:rPr>
      </w:pPr>
      <w:r w:rsidRPr="007871E6">
        <w:rPr>
          <w:rFonts w:ascii="宋体" w:eastAsia="宋体" w:hAnsi="宋体" w:cs="宋体"/>
          <w:b/>
          <w:color w:val="0070C0"/>
          <w:szCs w:val="21"/>
        </w:rPr>
        <w:t>* Correspondence: Jianping Liu, (e-mail: liujianping199501@163.com).</w:t>
      </w:r>
    </w:p>
    <w:p w:rsidR="007871E6" w:rsidRDefault="007871E6" w:rsidP="006137B5">
      <w:pPr>
        <w:rPr>
          <w:rFonts w:ascii="宋体" w:eastAsia="宋体" w:hAnsi="宋体" w:cs="宋体"/>
          <w:szCs w:val="21"/>
        </w:rPr>
      </w:pPr>
    </w:p>
    <w:p w:rsidR="006137B5" w:rsidRPr="006137B5" w:rsidRDefault="006137B5" w:rsidP="006137B5">
      <w:pPr>
        <w:rPr>
          <w:rFonts w:ascii="宋体" w:eastAsia="宋体" w:hAnsi="宋体" w:cs="宋体"/>
          <w:szCs w:val="21"/>
        </w:rPr>
      </w:pPr>
      <w:r w:rsidRPr="006137B5">
        <w:rPr>
          <w:rFonts w:ascii="宋体" w:eastAsia="宋体" w:hAnsi="宋体" w:cs="宋体"/>
          <w:szCs w:val="21"/>
        </w:rPr>
        <w:t>Author information:</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(1)Department of Respiratory and Critical Care Medicine, Affiliated Hospital of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Hangzhou Normal University, Hangzhou, Zhejiang, China.</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(2)Department of Tuberculosis, Affiliated Hospital of Hangzhou Normal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University, Hangzhou, Zhejiang, China.</w:t>
      </w:r>
    </w:p>
    <w:p w:rsidR="006137B5" w:rsidRPr="006137B5" w:rsidRDefault="006137B5" w:rsidP="006137B5">
      <w:pPr>
        <w:rPr>
          <w:rFonts w:ascii="宋体" w:eastAsia="宋体" w:hAnsi="宋体" w:cs="宋体"/>
          <w:szCs w:val="21"/>
        </w:rPr>
      </w:pP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The risk of antituberculosis drug-induced liver injury (AT-DILI) in patients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with metabolic dysfunction-associated steatotic liver disease (MASLD) is not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clear. The aim of this study was to investigate incidence and risk factors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associated with AT-DILI in MASLD patients. Retrospectively, a total of 120 MASLD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patients who received antituberculosis medication from December 2017 to March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2023 were reviewed, including 91 males and 29 females. The participants were </w:t>
      </w:r>
    </w:p>
    <w:p w:rsidR="006137B5" w:rsidRPr="006137B5" w:rsidRDefault="006137B5" w:rsidP="006137B5">
      <w:pPr>
        <w:rPr>
          <w:rFonts w:ascii="宋体" w:eastAsia="宋体" w:hAnsi="宋体" w:cs="宋体"/>
          <w:szCs w:val="21"/>
        </w:rPr>
      </w:pPr>
      <w:r w:rsidRPr="006137B5">
        <w:rPr>
          <w:rFonts w:ascii="宋体" w:eastAsia="宋体" w:hAnsi="宋体" w:cs="宋体"/>
          <w:szCs w:val="21"/>
        </w:rPr>
        <w:lastRenderedPageBreak/>
        <w:t xml:space="preserve">categorized into 2 cohorts based on the presence or absence of liver injury.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Risk factors for AT-DILI were analyzed using logistic regression analysis. Among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the 120 patients with treatment of tuberculosis complicated with MASLD, 28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(23.3%) patients developed AT-DILI. The remaining 92 (76.7%) patients did not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develop AT-DILI. In the group of patients with liver injury, there were 26 cases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of mild liver injury, one case of moderate liver injury, and one case of acute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liver failure. Additionally, there were 23 cases of hepatocellular injury, 3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cases of cholestasis, and 2 cases of mixed liver injury. AT-DILI was observed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during antituberculosis treatment 30.4</w:t>
      </w:r>
      <w:r w:rsidRPr="006137B5">
        <w:rPr>
          <w:rFonts w:ascii="MS Gothic" w:eastAsia="MS Gothic" w:hAnsi="MS Gothic" w:cs="MS Gothic" w:hint="eastAsia"/>
          <w:szCs w:val="21"/>
        </w:rPr>
        <w:t> </w:t>
      </w:r>
      <w:r w:rsidRPr="006137B5">
        <w:rPr>
          <w:rFonts w:ascii="宋体" w:eastAsia="宋体" w:hAnsi="宋体" w:cs="宋体" w:hint="eastAsia"/>
          <w:szCs w:val="21"/>
        </w:rPr>
        <w:t>±</w:t>
      </w:r>
      <w:r w:rsidRPr="006137B5">
        <w:rPr>
          <w:rFonts w:ascii="MS Gothic" w:eastAsia="MS Gothic" w:hAnsi="MS Gothic" w:cs="MS Gothic" w:hint="eastAsia"/>
          <w:szCs w:val="21"/>
        </w:rPr>
        <w:t> </w:t>
      </w:r>
      <w:r w:rsidRPr="006137B5">
        <w:rPr>
          <w:rFonts w:ascii="宋体" w:eastAsia="宋体" w:hAnsi="宋体" w:cs="宋体"/>
          <w:szCs w:val="21"/>
        </w:rPr>
        <w:t xml:space="preserve">17.6 days after the treatment began.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There were significant differences in age, body mass index (BMI), platelet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count, total bilirubin, fibrosis-4 (FIB-4) between the liver injury group, and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the non-liver injury group (P</w:t>
      </w:r>
      <w:r w:rsidRPr="006137B5">
        <w:rPr>
          <w:rFonts w:ascii="MS Gothic" w:eastAsia="MS Gothic" w:hAnsi="MS Gothic" w:cs="MS Gothic" w:hint="eastAsia"/>
          <w:szCs w:val="21"/>
        </w:rPr>
        <w:t> </w:t>
      </w:r>
      <w:r w:rsidRPr="006137B5">
        <w:rPr>
          <w:rFonts w:ascii="宋体" w:eastAsia="宋体" w:hAnsi="宋体" w:cs="宋体"/>
          <w:szCs w:val="21"/>
        </w:rPr>
        <w:t>&lt;</w:t>
      </w:r>
      <w:r w:rsidRPr="006137B5">
        <w:rPr>
          <w:rFonts w:ascii="MS Gothic" w:eastAsia="MS Gothic" w:hAnsi="MS Gothic" w:cs="MS Gothic" w:hint="eastAsia"/>
          <w:szCs w:val="21"/>
        </w:rPr>
        <w:t> </w:t>
      </w:r>
      <w:r w:rsidRPr="006137B5">
        <w:rPr>
          <w:rFonts w:ascii="宋体" w:eastAsia="宋体" w:hAnsi="宋体" w:cs="宋体"/>
          <w:szCs w:val="21"/>
        </w:rPr>
        <w:t xml:space="preserve">.05 in all). There were no significant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differences in gender, hemoglobin, albumin, alanine aminotransferase, aspartate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aminotransferase, alkaline phosphatase, γ-glutamyltransferase, total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cholesterol, triglyceride, combined hypertension, and combined diabetes mellitus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between the liver injury group, and the non-liver injury group (P</w:t>
      </w:r>
      <w:r w:rsidRPr="006137B5">
        <w:rPr>
          <w:rFonts w:ascii="MS Gothic" w:eastAsia="MS Gothic" w:hAnsi="MS Gothic" w:cs="MS Gothic" w:hint="eastAsia"/>
          <w:szCs w:val="21"/>
        </w:rPr>
        <w:t> </w:t>
      </w:r>
      <w:r w:rsidRPr="006137B5">
        <w:rPr>
          <w:rFonts w:ascii="宋体" w:eastAsia="宋体" w:hAnsi="宋体" w:cs="宋体"/>
          <w:szCs w:val="21"/>
        </w:rPr>
        <w:t>&gt;</w:t>
      </w:r>
      <w:r w:rsidRPr="006137B5">
        <w:rPr>
          <w:rFonts w:ascii="MS Gothic" w:eastAsia="MS Gothic" w:hAnsi="MS Gothic" w:cs="MS Gothic" w:hint="eastAsia"/>
          <w:szCs w:val="21"/>
        </w:rPr>
        <w:t> </w:t>
      </w:r>
      <w:r w:rsidRPr="006137B5">
        <w:rPr>
          <w:rFonts w:ascii="宋体" w:eastAsia="宋体" w:hAnsi="宋体" w:cs="宋体"/>
          <w:szCs w:val="21"/>
        </w:rPr>
        <w:t xml:space="preserve">.05 in all).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By logistic regression analysis, low BMI and FIB-4 were a high-risk factor for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liver injury. The incidence of AT-DILI was high in patients with pulmonary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tuberculosis complicated with MASLD. Clinicians should focus on the risk of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AT-DILI in patients with low BMI and elevated FIB-4 scores.</w:t>
      </w:r>
    </w:p>
    <w:p w:rsidR="006137B5" w:rsidRPr="006137B5" w:rsidRDefault="006137B5" w:rsidP="006137B5">
      <w:pPr>
        <w:rPr>
          <w:rFonts w:ascii="宋体" w:eastAsia="宋体" w:hAnsi="宋体" w:cs="宋体"/>
          <w:szCs w:val="21"/>
        </w:rPr>
      </w:pPr>
    </w:p>
    <w:p w:rsidR="006137B5" w:rsidRPr="006137B5" w:rsidRDefault="006137B5" w:rsidP="006137B5">
      <w:pPr>
        <w:rPr>
          <w:rFonts w:ascii="宋体" w:eastAsia="宋体" w:hAnsi="宋体" w:cs="宋体"/>
          <w:szCs w:val="21"/>
        </w:rPr>
      </w:pPr>
      <w:r w:rsidRPr="006137B5">
        <w:rPr>
          <w:rFonts w:ascii="宋体" w:eastAsia="宋体" w:hAnsi="宋体" w:cs="宋体"/>
          <w:szCs w:val="21"/>
        </w:rPr>
        <w:t>Copyright © 2025 the Author(s). Published by Wolters Kluwer Health, Inc.</w:t>
      </w:r>
    </w:p>
    <w:p w:rsidR="006137B5" w:rsidRPr="006137B5" w:rsidRDefault="006137B5" w:rsidP="006137B5">
      <w:pPr>
        <w:rPr>
          <w:rFonts w:ascii="宋体" w:eastAsia="宋体" w:hAnsi="宋体" w:cs="宋体"/>
          <w:szCs w:val="21"/>
        </w:rPr>
      </w:pPr>
    </w:p>
    <w:p w:rsidR="006137B5" w:rsidRPr="006137B5" w:rsidRDefault="006137B5" w:rsidP="006137B5">
      <w:pPr>
        <w:rPr>
          <w:rFonts w:ascii="宋体" w:eastAsia="宋体" w:hAnsi="宋体" w:cs="宋体"/>
          <w:szCs w:val="21"/>
        </w:rPr>
      </w:pPr>
      <w:r w:rsidRPr="006137B5">
        <w:rPr>
          <w:rFonts w:ascii="宋体" w:eastAsia="宋体" w:hAnsi="宋体" w:cs="宋体"/>
          <w:szCs w:val="21"/>
        </w:rPr>
        <w:t>DOI: 10.1097/MD.0000000000044078</w:t>
      </w:r>
    </w:p>
    <w:p w:rsidR="006137B5" w:rsidRPr="006137B5" w:rsidRDefault="006137B5" w:rsidP="006137B5">
      <w:pPr>
        <w:rPr>
          <w:rFonts w:ascii="宋体" w:eastAsia="宋体" w:hAnsi="宋体" w:cs="宋体"/>
          <w:szCs w:val="21"/>
        </w:rPr>
      </w:pPr>
      <w:r w:rsidRPr="006137B5">
        <w:rPr>
          <w:rFonts w:ascii="宋体" w:eastAsia="宋体" w:hAnsi="宋体" w:cs="宋体"/>
          <w:szCs w:val="21"/>
        </w:rPr>
        <w:t>PMCID: PMC12401279</w:t>
      </w:r>
    </w:p>
    <w:p w:rsidR="006137B5" w:rsidRPr="006137B5" w:rsidRDefault="006137B5" w:rsidP="006137B5">
      <w:pPr>
        <w:rPr>
          <w:rFonts w:ascii="宋体" w:eastAsia="宋体" w:hAnsi="宋体" w:cs="宋体"/>
          <w:szCs w:val="21"/>
        </w:rPr>
      </w:pPr>
      <w:r w:rsidRPr="006137B5">
        <w:rPr>
          <w:rFonts w:ascii="宋体" w:eastAsia="宋体" w:hAnsi="宋体" w:cs="宋体"/>
          <w:szCs w:val="21"/>
        </w:rPr>
        <w:t>PMID: 40898548 [Indexed for MEDLINE]</w:t>
      </w:r>
    </w:p>
    <w:p w:rsidR="006137B5" w:rsidRPr="006137B5" w:rsidRDefault="006137B5" w:rsidP="006137B5">
      <w:pPr>
        <w:rPr>
          <w:rFonts w:ascii="宋体" w:eastAsia="宋体" w:hAnsi="宋体" w:cs="宋体"/>
          <w:szCs w:val="21"/>
        </w:rPr>
      </w:pPr>
    </w:p>
    <w:p w:rsidR="006137B5" w:rsidRPr="009E4E5F" w:rsidRDefault="007844B7" w:rsidP="006137B5">
      <w:pPr>
        <w:rPr>
          <w:rFonts w:ascii="宋体" w:eastAsia="宋体" w:hAnsi="宋体" w:cs="宋体"/>
          <w:b/>
          <w:color w:val="FF0000"/>
          <w:szCs w:val="21"/>
        </w:rPr>
      </w:pPr>
      <w:r>
        <w:rPr>
          <w:rFonts w:ascii="宋体" w:eastAsia="宋体" w:hAnsi="宋体" w:cs="宋体"/>
          <w:b/>
          <w:color w:val="FF0000"/>
          <w:szCs w:val="21"/>
        </w:rPr>
        <w:t>16</w:t>
      </w:r>
      <w:r w:rsidR="006137B5" w:rsidRPr="009E4E5F">
        <w:rPr>
          <w:rFonts w:ascii="宋体" w:eastAsia="宋体" w:hAnsi="宋体" w:cs="宋体"/>
          <w:b/>
          <w:color w:val="FF0000"/>
          <w:szCs w:val="21"/>
        </w:rPr>
        <w:t xml:space="preserve">. Front Endocrinol (Lausanne). 2025 Aug 14;16:1630603. doi: </w:t>
      </w:r>
    </w:p>
    <w:p w:rsidR="006137B5" w:rsidRPr="009E4E5F" w:rsidRDefault="006137B5" w:rsidP="006137B5">
      <w:pPr>
        <w:rPr>
          <w:rFonts w:ascii="宋体" w:eastAsia="宋体" w:hAnsi="宋体" w:cs="宋体"/>
          <w:b/>
          <w:color w:val="FF0000"/>
          <w:szCs w:val="21"/>
        </w:rPr>
      </w:pPr>
      <w:r w:rsidRPr="009E4E5F">
        <w:rPr>
          <w:rFonts w:ascii="宋体" w:eastAsia="宋体" w:hAnsi="宋体" w:cs="宋体"/>
          <w:b/>
          <w:color w:val="FF0000"/>
          <w:szCs w:val="21"/>
        </w:rPr>
        <w:t>10.3389/fendo.2025.1630603. eCollection 2025.</w:t>
      </w:r>
    </w:p>
    <w:p w:rsidR="006137B5" w:rsidRPr="006137B5" w:rsidRDefault="006137B5" w:rsidP="006137B5">
      <w:pPr>
        <w:rPr>
          <w:rFonts w:ascii="宋体" w:eastAsia="宋体" w:hAnsi="宋体" w:cs="宋体"/>
          <w:szCs w:val="21"/>
        </w:rPr>
      </w:pP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Recent advances in biomarkers for diabetes mellitus and tuberculosis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comorbidity: a comprehensive review.</w:t>
      </w:r>
    </w:p>
    <w:p w:rsidR="006137B5" w:rsidRPr="006137B5" w:rsidRDefault="006137B5" w:rsidP="006137B5">
      <w:pPr>
        <w:rPr>
          <w:rFonts w:ascii="宋体" w:eastAsia="宋体" w:hAnsi="宋体" w:cs="宋体"/>
          <w:szCs w:val="21"/>
        </w:rPr>
      </w:pPr>
    </w:p>
    <w:p w:rsidR="006137B5" w:rsidRPr="006137B5" w:rsidRDefault="006137B5" w:rsidP="006137B5">
      <w:pPr>
        <w:rPr>
          <w:rFonts w:ascii="宋体" w:eastAsia="宋体" w:hAnsi="宋体" w:cs="宋体"/>
          <w:szCs w:val="21"/>
        </w:rPr>
      </w:pPr>
      <w:r w:rsidRPr="006137B5">
        <w:rPr>
          <w:rFonts w:ascii="宋体" w:eastAsia="宋体" w:hAnsi="宋体" w:cs="宋体"/>
          <w:szCs w:val="21"/>
        </w:rPr>
        <w:t>Fang L(1), Wu Y(2), Fang X(1), Ning J(1).</w:t>
      </w:r>
    </w:p>
    <w:p w:rsidR="006137B5" w:rsidRDefault="006137B5" w:rsidP="006137B5">
      <w:pPr>
        <w:rPr>
          <w:rFonts w:ascii="宋体" w:eastAsia="宋体" w:hAnsi="宋体" w:cs="宋体"/>
          <w:szCs w:val="21"/>
        </w:rPr>
      </w:pPr>
    </w:p>
    <w:p w:rsidR="00FA67BA" w:rsidRPr="00A619FA" w:rsidRDefault="00FA67BA" w:rsidP="006137B5">
      <w:pPr>
        <w:rPr>
          <w:rFonts w:ascii="宋体" w:eastAsia="宋体" w:hAnsi="宋体" w:cs="宋体"/>
          <w:b/>
          <w:color w:val="0070C0"/>
          <w:szCs w:val="21"/>
        </w:rPr>
      </w:pPr>
      <w:r w:rsidRPr="00A619FA">
        <w:rPr>
          <w:rFonts w:ascii="宋体" w:eastAsia="宋体" w:hAnsi="宋体" w:cs="宋体"/>
          <w:b/>
          <w:color w:val="0070C0"/>
          <w:szCs w:val="21"/>
        </w:rPr>
        <w:t>Lihua Fang, Yuqian Wu, Xiaokang Fang, Jie Ning</w:t>
      </w:r>
      <w:r w:rsidR="00A619FA" w:rsidRPr="00A619FA">
        <w:rPr>
          <w:rFonts w:ascii="宋体" w:eastAsia="宋体" w:hAnsi="宋体" w:cs="宋体" w:hint="eastAsia"/>
          <w:b/>
          <w:color w:val="0070C0"/>
          <w:szCs w:val="21"/>
        </w:rPr>
        <w:t>*</w:t>
      </w:r>
    </w:p>
    <w:p w:rsidR="00FA67BA" w:rsidRPr="00A619FA" w:rsidRDefault="00A619FA" w:rsidP="006137B5">
      <w:pPr>
        <w:rPr>
          <w:rFonts w:ascii="宋体" w:eastAsia="宋体" w:hAnsi="宋体" w:cs="宋体"/>
          <w:b/>
          <w:color w:val="0070C0"/>
          <w:szCs w:val="21"/>
        </w:rPr>
      </w:pPr>
      <w:r w:rsidRPr="00A619FA">
        <w:rPr>
          <w:rFonts w:ascii="宋体" w:eastAsia="宋体" w:hAnsi="宋体" w:cs="宋体"/>
          <w:b/>
          <w:color w:val="0070C0"/>
          <w:szCs w:val="21"/>
        </w:rPr>
        <w:t>*CORRESPONDENCE Jie Ning</w:t>
      </w:r>
      <w:r w:rsidRPr="00A619FA">
        <w:rPr>
          <w:rFonts w:ascii="宋体" w:eastAsia="宋体" w:hAnsi="宋体" w:cs="宋体" w:hint="eastAsia"/>
          <w:b/>
          <w:color w:val="0070C0"/>
          <w:szCs w:val="21"/>
        </w:rPr>
        <w:t>，</w:t>
      </w:r>
      <w:r w:rsidRPr="00A619FA">
        <w:rPr>
          <w:rFonts w:ascii="宋体" w:eastAsia="宋体" w:hAnsi="宋体" w:cs="宋体"/>
          <w:b/>
          <w:color w:val="0070C0"/>
          <w:szCs w:val="21"/>
        </w:rPr>
        <w:t>jiening919@gmail.com</w:t>
      </w:r>
    </w:p>
    <w:p w:rsidR="00FA67BA" w:rsidRDefault="00FA67BA" w:rsidP="006137B5">
      <w:pPr>
        <w:rPr>
          <w:rFonts w:ascii="宋体" w:eastAsia="宋体" w:hAnsi="宋体" w:cs="宋体"/>
          <w:szCs w:val="21"/>
        </w:rPr>
      </w:pPr>
    </w:p>
    <w:p w:rsidR="006137B5" w:rsidRPr="006137B5" w:rsidRDefault="006137B5" w:rsidP="006137B5">
      <w:pPr>
        <w:rPr>
          <w:rFonts w:ascii="宋体" w:eastAsia="宋体" w:hAnsi="宋体" w:cs="宋体"/>
          <w:szCs w:val="21"/>
        </w:rPr>
      </w:pPr>
      <w:r w:rsidRPr="006137B5">
        <w:rPr>
          <w:rFonts w:ascii="宋体" w:eastAsia="宋体" w:hAnsi="宋体" w:cs="宋体"/>
          <w:szCs w:val="21"/>
        </w:rPr>
        <w:t>Author information:</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(1)Department of Endocrinology, Shenzhen Longhua District Central Hospital,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Shenzhen, Guangdong, China.</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(2)Guangzhou Center for Disease Control and Prevention, Guangzhou,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Guangdong, China.</w:t>
      </w:r>
    </w:p>
    <w:p w:rsidR="006137B5" w:rsidRPr="006137B5" w:rsidRDefault="006137B5" w:rsidP="006137B5">
      <w:pPr>
        <w:rPr>
          <w:rFonts w:ascii="宋体" w:eastAsia="宋体" w:hAnsi="宋体" w:cs="宋体"/>
          <w:szCs w:val="21"/>
        </w:rPr>
      </w:pPr>
    </w:p>
    <w:p w:rsidR="006137B5" w:rsidRPr="006137B5" w:rsidRDefault="006137B5" w:rsidP="006137B5">
      <w:pPr>
        <w:rPr>
          <w:rFonts w:ascii="宋体" w:eastAsia="宋体" w:hAnsi="宋体" w:cs="宋体"/>
          <w:szCs w:val="21"/>
        </w:rPr>
      </w:pPr>
      <w:r w:rsidRPr="006137B5">
        <w:rPr>
          <w:rFonts w:ascii="宋体" w:eastAsia="宋体" w:hAnsi="宋体" w:cs="宋体"/>
          <w:szCs w:val="21"/>
        </w:rPr>
        <w:lastRenderedPageBreak/>
        <w:t xml:space="preserve">Diabetes mellitus (DM) and tuberculosis (TB) are significant global health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challenges that complicate diagnosis, treatment, and management due to their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interrelated nature. DM increases TB risk and worsens outcomes, highlighting the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need for early detection and effective management. This review summarizes recent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advancements in biomarkers for DM-TB comorbidity, including microbial,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metabolic, immunological, inflammatory, clinical, and genetic markers. We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identified 30 relevant studies, through a literature search using keywords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related to DM, TB, and biomarkers. Key findings include specific gut microbiota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genera and lipid mediators that show promise for early diagnosis and treatment.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Immunological biomarkers like altered CD8+ T cells and NK cells provide insights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into disease severity and treatment monitoring. Inflammatory markers such as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elevated CRP, ferritin, and IL-6 reflect heightened inflammation and could guide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treatment strategies. Clinical biomarkers, including serum CA-125 (sensitivity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88.14%, specificity 95.83%) and AUC/MIC ratios of anti-TB drugs (e.g., </w:t>
      </w:r>
    </w:p>
    <w:p w:rsidR="006137B5" w:rsidRPr="006137B5" w:rsidRDefault="006137B5" w:rsidP="006137B5">
      <w:pPr>
        <w:rPr>
          <w:rFonts w:ascii="宋体" w:eastAsia="宋体" w:hAnsi="宋体" w:cs="宋体"/>
          <w:szCs w:val="21"/>
        </w:rPr>
      </w:pPr>
      <w:r w:rsidRPr="006137B5">
        <w:rPr>
          <w:rFonts w:ascii="宋体" w:eastAsia="宋体" w:hAnsi="宋体" w:cs="宋体" w:hint="eastAsia"/>
          <w:szCs w:val="21"/>
        </w:rPr>
        <w:t xml:space="preserve">moxifloxacin ≥67; sensitivity 97.3%, specificity 90.0%), demonstrate high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diagnostic accuracy. Future research should focus on validating these biomarkers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across diverse populations and integrating them into clinical practice to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enhance DM-TB management and contribute to global disease control efforts.</w:t>
      </w:r>
    </w:p>
    <w:p w:rsidR="006137B5" w:rsidRPr="006137B5" w:rsidRDefault="006137B5" w:rsidP="006137B5">
      <w:pPr>
        <w:rPr>
          <w:rFonts w:ascii="宋体" w:eastAsia="宋体" w:hAnsi="宋体" w:cs="宋体"/>
          <w:szCs w:val="21"/>
        </w:rPr>
      </w:pPr>
    </w:p>
    <w:p w:rsidR="006137B5" w:rsidRPr="006137B5" w:rsidRDefault="006137B5" w:rsidP="006137B5">
      <w:pPr>
        <w:rPr>
          <w:rFonts w:ascii="宋体" w:eastAsia="宋体" w:hAnsi="宋体" w:cs="宋体"/>
          <w:szCs w:val="21"/>
        </w:rPr>
      </w:pPr>
      <w:r w:rsidRPr="006137B5">
        <w:rPr>
          <w:rFonts w:ascii="宋体" w:eastAsia="宋体" w:hAnsi="宋体" w:cs="宋体"/>
          <w:szCs w:val="21"/>
        </w:rPr>
        <w:t>Copyright © 2025 Fang, Wu, Fang and Ning.</w:t>
      </w:r>
    </w:p>
    <w:p w:rsidR="006137B5" w:rsidRPr="006137B5" w:rsidRDefault="006137B5" w:rsidP="006137B5">
      <w:pPr>
        <w:rPr>
          <w:rFonts w:ascii="宋体" w:eastAsia="宋体" w:hAnsi="宋体" w:cs="宋体"/>
          <w:szCs w:val="21"/>
        </w:rPr>
      </w:pPr>
    </w:p>
    <w:p w:rsidR="006137B5" w:rsidRPr="006137B5" w:rsidRDefault="006137B5" w:rsidP="006137B5">
      <w:pPr>
        <w:rPr>
          <w:rFonts w:ascii="宋体" w:eastAsia="宋体" w:hAnsi="宋体" w:cs="宋体"/>
          <w:szCs w:val="21"/>
        </w:rPr>
      </w:pPr>
      <w:r w:rsidRPr="006137B5">
        <w:rPr>
          <w:rFonts w:ascii="宋体" w:eastAsia="宋体" w:hAnsi="宋体" w:cs="宋体"/>
          <w:szCs w:val="21"/>
        </w:rPr>
        <w:t>DOI: 10.3389/fendo.2025.1630603</w:t>
      </w:r>
    </w:p>
    <w:p w:rsidR="006137B5" w:rsidRPr="006137B5" w:rsidRDefault="006137B5" w:rsidP="006137B5">
      <w:pPr>
        <w:rPr>
          <w:rFonts w:ascii="宋体" w:eastAsia="宋体" w:hAnsi="宋体" w:cs="宋体"/>
          <w:szCs w:val="21"/>
        </w:rPr>
      </w:pPr>
      <w:r w:rsidRPr="006137B5">
        <w:rPr>
          <w:rFonts w:ascii="宋体" w:eastAsia="宋体" w:hAnsi="宋体" w:cs="宋体"/>
          <w:szCs w:val="21"/>
        </w:rPr>
        <w:t>PMCID: PMC12390818</w:t>
      </w:r>
    </w:p>
    <w:p w:rsidR="006137B5" w:rsidRPr="006137B5" w:rsidRDefault="006137B5" w:rsidP="006137B5">
      <w:pPr>
        <w:rPr>
          <w:rFonts w:ascii="宋体" w:eastAsia="宋体" w:hAnsi="宋体" w:cs="宋体"/>
          <w:szCs w:val="21"/>
        </w:rPr>
      </w:pPr>
      <w:r w:rsidRPr="006137B5">
        <w:rPr>
          <w:rFonts w:ascii="宋体" w:eastAsia="宋体" w:hAnsi="宋体" w:cs="宋体"/>
          <w:szCs w:val="21"/>
        </w:rPr>
        <w:t>PMID: 40895633 [Indexed for MEDLINE]</w:t>
      </w:r>
    </w:p>
    <w:p w:rsidR="006137B5" w:rsidRPr="006137B5" w:rsidRDefault="006137B5" w:rsidP="006137B5">
      <w:pPr>
        <w:rPr>
          <w:rFonts w:ascii="宋体" w:eastAsia="宋体" w:hAnsi="宋体" w:cs="宋体"/>
          <w:szCs w:val="21"/>
        </w:rPr>
      </w:pPr>
    </w:p>
    <w:p w:rsidR="006137B5" w:rsidRPr="009E4E5F" w:rsidRDefault="007844B7" w:rsidP="006137B5">
      <w:pPr>
        <w:rPr>
          <w:rFonts w:ascii="宋体" w:eastAsia="宋体" w:hAnsi="宋体" w:cs="宋体"/>
          <w:b/>
          <w:color w:val="FF0000"/>
          <w:szCs w:val="21"/>
        </w:rPr>
      </w:pPr>
      <w:r>
        <w:rPr>
          <w:rFonts w:ascii="宋体" w:eastAsia="宋体" w:hAnsi="宋体" w:cs="宋体"/>
          <w:b/>
          <w:color w:val="FF0000"/>
          <w:szCs w:val="21"/>
        </w:rPr>
        <w:t>17</w:t>
      </w:r>
      <w:r w:rsidR="006137B5" w:rsidRPr="009E4E5F">
        <w:rPr>
          <w:rFonts w:ascii="宋体" w:eastAsia="宋体" w:hAnsi="宋体" w:cs="宋体"/>
          <w:b/>
          <w:color w:val="FF0000"/>
          <w:szCs w:val="21"/>
        </w:rPr>
        <w:t xml:space="preserve">. Front Immunol. 2025 Aug 14;16:1624923. doi: 10.3389/fimmu.2025.1624923. </w:t>
      </w:r>
    </w:p>
    <w:p w:rsidR="006137B5" w:rsidRPr="009E4E5F" w:rsidRDefault="006137B5" w:rsidP="006137B5">
      <w:pPr>
        <w:rPr>
          <w:rFonts w:ascii="宋体" w:eastAsia="宋体" w:hAnsi="宋体" w:cs="宋体"/>
          <w:b/>
          <w:color w:val="FF0000"/>
          <w:szCs w:val="21"/>
        </w:rPr>
      </w:pPr>
      <w:r w:rsidRPr="009E4E5F">
        <w:rPr>
          <w:rFonts w:ascii="宋体" w:eastAsia="宋体" w:hAnsi="宋体" w:cs="宋体"/>
          <w:b/>
          <w:color w:val="FF0000"/>
          <w:szCs w:val="21"/>
        </w:rPr>
        <w:t>eCollection 2025.</w:t>
      </w:r>
    </w:p>
    <w:p w:rsidR="006137B5" w:rsidRPr="009E4E5F" w:rsidRDefault="006137B5" w:rsidP="006137B5">
      <w:pPr>
        <w:rPr>
          <w:rFonts w:ascii="宋体" w:eastAsia="宋体" w:hAnsi="宋体" w:cs="宋体"/>
          <w:b/>
          <w:color w:val="FF0000"/>
          <w:szCs w:val="21"/>
        </w:rPr>
      </w:pP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Therapeutic vaccination with the Ag85B-Rv2660c-MPT70 fusion protein enhances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Mycobacterium tuberculosis H37Ra clearance in post-exposure mice.</w:t>
      </w:r>
    </w:p>
    <w:p w:rsidR="006137B5" w:rsidRPr="006137B5" w:rsidRDefault="006137B5" w:rsidP="006137B5">
      <w:pPr>
        <w:rPr>
          <w:rFonts w:ascii="宋体" w:eastAsia="宋体" w:hAnsi="宋体" w:cs="宋体"/>
          <w:szCs w:val="21"/>
        </w:rPr>
      </w:pP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Hu Z(#)(1), Guo S(#)(1), Chen W(1), Ouyang J(1), Huang C(1), Cao T(1), Mou J(1),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Gu X(1), Liu J(1)(2).</w:t>
      </w:r>
    </w:p>
    <w:p w:rsidR="006137B5" w:rsidRDefault="006137B5" w:rsidP="006137B5">
      <w:pPr>
        <w:rPr>
          <w:rFonts w:ascii="宋体" w:eastAsia="宋体" w:hAnsi="宋体" w:cs="宋体"/>
          <w:szCs w:val="21"/>
        </w:rPr>
      </w:pPr>
    </w:p>
    <w:p w:rsidR="00D95863" w:rsidRPr="00043FA6" w:rsidRDefault="00D95863" w:rsidP="006137B5">
      <w:pPr>
        <w:rPr>
          <w:rFonts w:ascii="宋体" w:eastAsia="宋体" w:hAnsi="宋体" w:cs="宋体"/>
          <w:b/>
          <w:color w:val="0070C0"/>
          <w:szCs w:val="21"/>
        </w:rPr>
      </w:pPr>
      <w:r w:rsidRPr="00043FA6">
        <w:rPr>
          <w:rFonts w:ascii="宋体" w:eastAsia="宋体" w:hAnsi="宋体" w:cs="宋体"/>
          <w:b/>
          <w:color w:val="0070C0"/>
          <w:szCs w:val="21"/>
        </w:rPr>
        <w:t>Zhiming Hu,</w:t>
      </w:r>
      <w:r w:rsidR="00043FA6" w:rsidRPr="00043FA6">
        <w:rPr>
          <w:rFonts w:ascii="宋体" w:eastAsia="宋体" w:hAnsi="宋体" w:cs="宋体"/>
          <w:b/>
          <w:color w:val="0070C0"/>
          <w:szCs w:val="21"/>
        </w:rPr>
        <w:t xml:space="preserve"> </w:t>
      </w:r>
      <w:r w:rsidRPr="00043FA6">
        <w:rPr>
          <w:rFonts w:ascii="宋体" w:eastAsia="宋体" w:hAnsi="宋体" w:cs="宋体"/>
          <w:b/>
          <w:color w:val="0070C0"/>
          <w:szCs w:val="21"/>
        </w:rPr>
        <w:t>Shaohua Guo,</w:t>
      </w:r>
      <w:r w:rsidR="00043FA6" w:rsidRPr="00043FA6">
        <w:rPr>
          <w:rFonts w:ascii="宋体" w:eastAsia="宋体" w:hAnsi="宋体" w:cs="宋体"/>
          <w:b/>
          <w:color w:val="0070C0"/>
          <w:szCs w:val="21"/>
        </w:rPr>
        <w:t xml:space="preserve"> </w:t>
      </w:r>
      <w:r w:rsidRPr="00043FA6">
        <w:rPr>
          <w:rFonts w:ascii="宋体" w:eastAsia="宋体" w:hAnsi="宋体" w:cs="宋体"/>
          <w:b/>
          <w:color w:val="0070C0"/>
          <w:szCs w:val="21"/>
        </w:rPr>
        <w:t>Wenlong Chen,</w:t>
      </w:r>
      <w:r w:rsidR="00043FA6" w:rsidRPr="00043FA6">
        <w:rPr>
          <w:rFonts w:ascii="宋体" w:eastAsia="宋体" w:hAnsi="宋体" w:cs="宋体"/>
          <w:b/>
          <w:color w:val="0070C0"/>
          <w:szCs w:val="21"/>
        </w:rPr>
        <w:t xml:space="preserve"> </w:t>
      </w:r>
      <w:r w:rsidRPr="00043FA6">
        <w:rPr>
          <w:rFonts w:ascii="宋体" w:eastAsia="宋体" w:hAnsi="宋体" w:cs="宋体"/>
          <w:b/>
          <w:color w:val="0070C0"/>
          <w:szCs w:val="21"/>
        </w:rPr>
        <w:t>Jiangshan Ouyang,</w:t>
      </w:r>
      <w:r w:rsidR="00043FA6" w:rsidRPr="00043FA6">
        <w:rPr>
          <w:rFonts w:ascii="宋体" w:eastAsia="宋体" w:hAnsi="宋体" w:cs="宋体"/>
          <w:b/>
          <w:color w:val="0070C0"/>
          <w:szCs w:val="21"/>
        </w:rPr>
        <w:t xml:space="preserve"> </w:t>
      </w:r>
      <w:r w:rsidRPr="00043FA6">
        <w:rPr>
          <w:rFonts w:ascii="宋体" w:eastAsia="宋体" w:hAnsi="宋体" w:cs="宋体"/>
          <w:b/>
          <w:color w:val="0070C0"/>
          <w:szCs w:val="21"/>
        </w:rPr>
        <w:t>Chunxu Huang,</w:t>
      </w:r>
      <w:r w:rsidR="00043FA6" w:rsidRPr="00043FA6">
        <w:rPr>
          <w:rFonts w:ascii="宋体" w:eastAsia="宋体" w:hAnsi="宋体" w:cs="宋体"/>
          <w:b/>
          <w:color w:val="0070C0"/>
          <w:szCs w:val="21"/>
        </w:rPr>
        <w:t xml:space="preserve"> </w:t>
      </w:r>
      <w:r w:rsidRPr="00043FA6">
        <w:rPr>
          <w:rFonts w:ascii="宋体" w:eastAsia="宋体" w:hAnsi="宋体" w:cs="宋体"/>
          <w:b/>
          <w:color w:val="0070C0"/>
          <w:szCs w:val="21"/>
        </w:rPr>
        <w:t>Ting Cao,</w:t>
      </w:r>
      <w:r w:rsidR="00043FA6" w:rsidRPr="00043FA6">
        <w:rPr>
          <w:rFonts w:ascii="宋体" w:eastAsia="宋体" w:hAnsi="宋体" w:cs="宋体"/>
          <w:b/>
          <w:color w:val="0070C0"/>
          <w:szCs w:val="21"/>
        </w:rPr>
        <w:t xml:space="preserve"> </w:t>
      </w:r>
      <w:r w:rsidRPr="00043FA6">
        <w:rPr>
          <w:rFonts w:ascii="宋体" w:eastAsia="宋体" w:hAnsi="宋体" w:cs="宋体"/>
          <w:b/>
          <w:color w:val="0070C0"/>
          <w:szCs w:val="21"/>
        </w:rPr>
        <w:t>Jun Mou,</w:t>
      </w:r>
      <w:r w:rsidR="00043FA6" w:rsidRPr="00043FA6">
        <w:rPr>
          <w:rFonts w:ascii="宋体" w:eastAsia="宋体" w:hAnsi="宋体" w:cs="宋体"/>
          <w:b/>
          <w:color w:val="0070C0"/>
          <w:szCs w:val="21"/>
        </w:rPr>
        <w:t xml:space="preserve"> </w:t>
      </w:r>
      <w:r w:rsidRPr="00043FA6">
        <w:rPr>
          <w:rFonts w:ascii="宋体" w:eastAsia="宋体" w:hAnsi="宋体" w:cs="宋体"/>
          <w:b/>
          <w:color w:val="0070C0"/>
          <w:szCs w:val="21"/>
        </w:rPr>
        <w:t>Xinxia Gu,</w:t>
      </w:r>
      <w:r w:rsidR="00043FA6" w:rsidRPr="00043FA6">
        <w:rPr>
          <w:rFonts w:ascii="宋体" w:eastAsia="宋体" w:hAnsi="宋体" w:cs="宋体"/>
          <w:b/>
          <w:color w:val="0070C0"/>
          <w:szCs w:val="21"/>
        </w:rPr>
        <w:t xml:space="preserve"> </w:t>
      </w:r>
      <w:r w:rsidRPr="00043FA6">
        <w:rPr>
          <w:rFonts w:ascii="宋体" w:eastAsia="宋体" w:hAnsi="宋体" w:cs="宋体"/>
          <w:b/>
          <w:color w:val="0070C0"/>
          <w:szCs w:val="21"/>
        </w:rPr>
        <w:t>Jie Liu</w:t>
      </w:r>
      <w:r w:rsidR="00043FA6" w:rsidRPr="00043FA6">
        <w:rPr>
          <w:rFonts w:ascii="宋体" w:eastAsia="宋体" w:hAnsi="宋体" w:cs="宋体" w:hint="eastAsia"/>
          <w:b/>
          <w:color w:val="0070C0"/>
          <w:szCs w:val="21"/>
        </w:rPr>
        <w:t>*</w:t>
      </w:r>
    </w:p>
    <w:p w:rsidR="00D95863" w:rsidRPr="00043FA6" w:rsidRDefault="00D95863" w:rsidP="006137B5">
      <w:pPr>
        <w:rPr>
          <w:rFonts w:ascii="宋体" w:eastAsia="宋体" w:hAnsi="宋体" w:cs="宋体"/>
          <w:b/>
          <w:color w:val="0070C0"/>
          <w:szCs w:val="21"/>
        </w:rPr>
      </w:pPr>
      <w:r w:rsidRPr="00043FA6">
        <w:rPr>
          <w:rFonts w:ascii="宋体" w:eastAsia="宋体" w:hAnsi="宋体" w:cs="宋体"/>
          <w:b/>
          <w:color w:val="0070C0"/>
          <w:szCs w:val="21"/>
        </w:rPr>
        <w:t>*CORRESPONDENCE Jie Liu</w:t>
      </w:r>
      <w:r w:rsidR="00043FA6" w:rsidRPr="00043FA6">
        <w:rPr>
          <w:rFonts w:ascii="宋体" w:eastAsia="宋体" w:hAnsi="宋体" w:cs="宋体" w:hint="eastAsia"/>
          <w:b/>
          <w:color w:val="0070C0"/>
          <w:szCs w:val="21"/>
        </w:rPr>
        <w:t>，</w:t>
      </w:r>
      <w:r w:rsidRPr="00043FA6">
        <w:rPr>
          <w:rFonts w:ascii="宋体" w:eastAsia="宋体" w:hAnsi="宋体" w:cs="宋体"/>
          <w:b/>
          <w:color w:val="0070C0"/>
          <w:szCs w:val="21"/>
        </w:rPr>
        <w:t>drliu@scu.edu.cn</w:t>
      </w:r>
    </w:p>
    <w:p w:rsidR="00D95863" w:rsidRDefault="00D95863" w:rsidP="006137B5">
      <w:pPr>
        <w:rPr>
          <w:rFonts w:ascii="宋体" w:eastAsia="宋体" w:hAnsi="宋体" w:cs="宋体"/>
          <w:szCs w:val="21"/>
        </w:rPr>
      </w:pPr>
    </w:p>
    <w:p w:rsidR="006137B5" w:rsidRPr="006137B5" w:rsidRDefault="006137B5" w:rsidP="006137B5">
      <w:pPr>
        <w:rPr>
          <w:rFonts w:ascii="宋体" w:eastAsia="宋体" w:hAnsi="宋体" w:cs="宋体"/>
          <w:szCs w:val="21"/>
        </w:rPr>
      </w:pPr>
      <w:r w:rsidRPr="006137B5">
        <w:rPr>
          <w:rFonts w:ascii="宋体" w:eastAsia="宋体" w:hAnsi="宋体" w:cs="宋体"/>
          <w:szCs w:val="21"/>
        </w:rPr>
        <w:t>Author information:</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(1)Center for Infectious Diseases and Vaccine Research, West China Hospital,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West China School of Medicine, Sichuan University, Chengdu, China.</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(2)Department of Healthcare Intelligence, University of North America, Fairfax,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VA, United States.</w:t>
      </w:r>
    </w:p>
    <w:p w:rsidR="006137B5" w:rsidRPr="006137B5" w:rsidRDefault="006137B5" w:rsidP="006137B5">
      <w:pPr>
        <w:rPr>
          <w:rFonts w:ascii="宋体" w:eastAsia="宋体" w:hAnsi="宋体" w:cs="宋体"/>
          <w:szCs w:val="21"/>
        </w:rPr>
      </w:pPr>
      <w:r w:rsidRPr="006137B5">
        <w:rPr>
          <w:rFonts w:ascii="宋体" w:eastAsia="宋体" w:hAnsi="宋体" w:cs="宋体"/>
          <w:szCs w:val="21"/>
        </w:rPr>
        <w:t>(#)Contributed equally</w:t>
      </w:r>
    </w:p>
    <w:p w:rsidR="006137B5" w:rsidRPr="006137B5" w:rsidRDefault="006137B5" w:rsidP="006137B5">
      <w:pPr>
        <w:rPr>
          <w:rFonts w:ascii="宋体" w:eastAsia="宋体" w:hAnsi="宋体" w:cs="宋体"/>
          <w:szCs w:val="21"/>
        </w:rPr>
      </w:pP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Latent tuberculosis infection (LTBI), affecting nearly one-quarter of the global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population, represents a major barrier to Tuberculosis (TB) eradication and a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paradigm of chronic infectious disease. Current chemotherapeutic regimens for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TB, although effective, are limited by drug resistance, toxicity, and poor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adherence, underscoring the urgent need for alternative strategies. In this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study, we investigated ARM-a recombinant fusion protein comprising Ag85B,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Rv2660c, and MPT70-as a therapeutic vaccine in a murine model of post-exposure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Mycobacterium tuberculosis (Mtb) infection. ARM immunization elicited robust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CD4+ T cell responses, with a higher frequency of polyfunctional T cells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producing IFN-γ, and TNF-α compared to the classical BCG vaccine. Critically,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ARM also induced strong humoral immunity, marked by elevated Mtb- and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ARM-specific IgG levels that enhanced FcγR-dependent phagocytosis,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phagosome-lysosome fusion, and intracellular bacterial clearance. ARM-treated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mice exhibited reduced pulmonary pathology, improved weight recovery, and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superior control of bacterial burden. These findings demonstrate the potential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of therapeutic vaccination to mobilize both cellular and antibody-mediated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immunity in controlling Mtb infection and offer a broader immunological strategy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for managing chronic infectious diseases. ARM represents a promising candidate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for post-exposure TB vaccination, with potential to enhance bacterial clearance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and reduce disease progression in high-burden populations.</w:t>
      </w:r>
    </w:p>
    <w:p w:rsidR="006137B5" w:rsidRPr="006137B5" w:rsidRDefault="006137B5" w:rsidP="006137B5">
      <w:pPr>
        <w:rPr>
          <w:rFonts w:ascii="宋体" w:eastAsia="宋体" w:hAnsi="宋体" w:cs="宋体"/>
          <w:szCs w:val="21"/>
        </w:rPr>
      </w:pPr>
    </w:p>
    <w:p w:rsidR="006137B5" w:rsidRPr="006137B5" w:rsidRDefault="006137B5" w:rsidP="006137B5">
      <w:pPr>
        <w:rPr>
          <w:rFonts w:ascii="宋体" w:eastAsia="宋体" w:hAnsi="宋体" w:cs="宋体"/>
          <w:szCs w:val="21"/>
        </w:rPr>
      </w:pPr>
      <w:r w:rsidRPr="006137B5">
        <w:rPr>
          <w:rFonts w:ascii="宋体" w:eastAsia="宋体" w:hAnsi="宋体" w:cs="宋体"/>
          <w:szCs w:val="21"/>
        </w:rPr>
        <w:t>Copyright © 2025 Hu, Guo, Chen, Ouyang, Huang, Cao, Mou, Gu and Liu.</w:t>
      </w:r>
    </w:p>
    <w:p w:rsidR="006137B5" w:rsidRPr="006137B5" w:rsidRDefault="006137B5" w:rsidP="006137B5">
      <w:pPr>
        <w:rPr>
          <w:rFonts w:ascii="宋体" w:eastAsia="宋体" w:hAnsi="宋体" w:cs="宋体"/>
          <w:szCs w:val="21"/>
        </w:rPr>
      </w:pPr>
    </w:p>
    <w:p w:rsidR="006137B5" w:rsidRPr="006137B5" w:rsidRDefault="006137B5" w:rsidP="006137B5">
      <w:pPr>
        <w:rPr>
          <w:rFonts w:ascii="宋体" w:eastAsia="宋体" w:hAnsi="宋体" w:cs="宋体"/>
          <w:szCs w:val="21"/>
        </w:rPr>
      </w:pPr>
      <w:r w:rsidRPr="006137B5">
        <w:rPr>
          <w:rFonts w:ascii="宋体" w:eastAsia="宋体" w:hAnsi="宋体" w:cs="宋体"/>
          <w:szCs w:val="21"/>
        </w:rPr>
        <w:t>DOI: 10.3389/fimmu.2025.1624923</w:t>
      </w:r>
    </w:p>
    <w:p w:rsidR="006137B5" w:rsidRPr="006137B5" w:rsidRDefault="006137B5" w:rsidP="006137B5">
      <w:pPr>
        <w:rPr>
          <w:rFonts w:ascii="宋体" w:eastAsia="宋体" w:hAnsi="宋体" w:cs="宋体"/>
          <w:szCs w:val="21"/>
        </w:rPr>
      </w:pPr>
      <w:r w:rsidRPr="006137B5">
        <w:rPr>
          <w:rFonts w:ascii="宋体" w:eastAsia="宋体" w:hAnsi="宋体" w:cs="宋体"/>
          <w:szCs w:val="21"/>
        </w:rPr>
        <w:t>PMCID: PMC12391039</w:t>
      </w:r>
    </w:p>
    <w:p w:rsidR="006137B5" w:rsidRPr="006137B5" w:rsidRDefault="006137B5" w:rsidP="006137B5">
      <w:pPr>
        <w:rPr>
          <w:rFonts w:ascii="宋体" w:eastAsia="宋体" w:hAnsi="宋体" w:cs="宋体"/>
          <w:szCs w:val="21"/>
        </w:rPr>
      </w:pPr>
      <w:r w:rsidRPr="006137B5">
        <w:rPr>
          <w:rFonts w:ascii="宋体" w:eastAsia="宋体" w:hAnsi="宋体" w:cs="宋体"/>
          <w:szCs w:val="21"/>
        </w:rPr>
        <w:t>PMID: 40895571 [Indexed for MEDLINE]</w:t>
      </w:r>
    </w:p>
    <w:p w:rsidR="006137B5" w:rsidRPr="006137B5" w:rsidRDefault="006137B5" w:rsidP="006137B5">
      <w:pPr>
        <w:rPr>
          <w:rFonts w:ascii="宋体" w:eastAsia="宋体" w:hAnsi="宋体" w:cs="宋体"/>
          <w:szCs w:val="21"/>
        </w:rPr>
      </w:pPr>
    </w:p>
    <w:p w:rsidR="006137B5" w:rsidRPr="0052454A" w:rsidRDefault="007844B7" w:rsidP="006137B5">
      <w:pPr>
        <w:rPr>
          <w:rFonts w:ascii="宋体" w:eastAsia="宋体" w:hAnsi="宋体" w:cs="宋体"/>
          <w:b/>
          <w:color w:val="FF0000"/>
          <w:szCs w:val="21"/>
        </w:rPr>
      </w:pPr>
      <w:r>
        <w:rPr>
          <w:rFonts w:ascii="宋体" w:eastAsia="宋体" w:hAnsi="宋体" w:cs="宋体"/>
          <w:b/>
          <w:color w:val="FF0000"/>
          <w:szCs w:val="21"/>
        </w:rPr>
        <w:t>18</w:t>
      </w:r>
      <w:r w:rsidR="006137B5" w:rsidRPr="0052454A">
        <w:rPr>
          <w:rFonts w:ascii="宋体" w:eastAsia="宋体" w:hAnsi="宋体" w:cs="宋体"/>
          <w:b/>
          <w:color w:val="FF0000"/>
          <w:szCs w:val="21"/>
        </w:rPr>
        <w:t xml:space="preserve">. Front Public Health. 2025 Aug 15;13:1600214. doi: 10.3389/fpubh.2025.1600214. </w:t>
      </w:r>
    </w:p>
    <w:p w:rsidR="006137B5" w:rsidRPr="0052454A" w:rsidRDefault="006137B5" w:rsidP="006137B5">
      <w:pPr>
        <w:rPr>
          <w:rFonts w:ascii="宋体" w:eastAsia="宋体" w:hAnsi="宋体" w:cs="宋体"/>
          <w:b/>
          <w:color w:val="FF0000"/>
          <w:szCs w:val="21"/>
        </w:rPr>
      </w:pPr>
      <w:r w:rsidRPr="0052454A">
        <w:rPr>
          <w:rFonts w:ascii="宋体" w:eastAsia="宋体" w:hAnsi="宋体" w:cs="宋体"/>
          <w:b/>
          <w:color w:val="FF0000"/>
          <w:szCs w:val="21"/>
        </w:rPr>
        <w:t>eCollection 2025.</w:t>
      </w:r>
    </w:p>
    <w:p w:rsidR="006137B5" w:rsidRPr="006137B5" w:rsidRDefault="006137B5" w:rsidP="006137B5">
      <w:pPr>
        <w:rPr>
          <w:rFonts w:ascii="宋体" w:eastAsia="宋体" w:hAnsi="宋体" w:cs="宋体"/>
          <w:szCs w:val="21"/>
        </w:rPr>
      </w:pP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Prevalence and epidemiological pattern of drug-resistant tuberculosis among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migrant populations in Wenzhou City, China, 2014-2023: implications for public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health strategies.</w:t>
      </w:r>
    </w:p>
    <w:p w:rsidR="006137B5" w:rsidRPr="006137B5" w:rsidRDefault="006137B5" w:rsidP="006137B5">
      <w:pPr>
        <w:rPr>
          <w:rFonts w:ascii="宋体" w:eastAsia="宋体" w:hAnsi="宋体" w:cs="宋体"/>
          <w:szCs w:val="21"/>
        </w:rPr>
      </w:pPr>
    </w:p>
    <w:p w:rsidR="006137B5" w:rsidRPr="006137B5" w:rsidRDefault="006137B5" w:rsidP="006137B5">
      <w:pPr>
        <w:rPr>
          <w:rFonts w:ascii="宋体" w:eastAsia="宋体" w:hAnsi="宋体" w:cs="宋体"/>
          <w:szCs w:val="21"/>
        </w:rPr>
      </w:pPr>
      <w:r w:rsidRPr="006137B5">
        <w:rPr>
          <w:rFonts w:ascii="宋体" w:eastAsia="宋体" w:hAnsi="宋体" w:cs="宋体"/>
          <w:szCs w:val="21"/>
        </w:rPr>
        <w:t>Wu L(1)(2), Cai X(3), Xu S(4), Lin X(5), Wu S(1), Xu X(1)(6).</w:t>
      </w:r>
    </w:p>
    <w:p w:rsidR="006137B5" w:rsidRDefault="006137B5" w:rsidP="006137B5">
      <w:pPr>
        <w:rPr>
          <w:rFonts w:ascii="宋体" w:eastAsia="宋体" w:hAnsi="宋体" w:cs="宋体"/>
          <w:szCs w:val="21"/>
        </w:rPr>
      </w:pPr>
    </w:p>
    <w:p w:rsidR="00AE4C72" w:rsidRPr="00AE4C72" w:rsidRDefault="00AE4C72" w:rsidP="006137B5">
      <w:pPr>
        <w:rPr>
          <w:rFonts w:ascii="宋体" w:eastAsia="宋体" w:hAnsi="宋体" w:cs="宋体"/>
          <w:b/>
          <w:color w:val="0070C0"/>
          <w:szCs w:val="21"/>
        </w:rPr>
      </w:pPr>
      <w:r w:rsidRPr="00AE4C72">
        <w:rPr>
          <w:rFonts w:ascii="宋体" w:eastAsia="宋体" w:hAnsi="宋体" w:cs="宋体"/>
          <w:b/>
          <w:color w:val="0070C0"/>
          <w:szCs w:val="21"/>
        </w:rPr>
        <w:t>Lianpeng Wu, Xiyue Cai, Shuya Xu, Xuefeng Lin, Shuangliao Wu</w:t>
      </w:r>
      <w:r w:rsidRPr="00AE4C72">
        <w:rPr>
          <w:rFonts w:ascii="宋体" w:eastAsia="宋体" w:hAnsi="宋体" w:cs="宋体" w:hint="eastAsia"/>
          <w:b/>
          <w:color w:val="0070C0"/>
          <w:szCs w:val="21"/>
        </w:rPr>
        <w:t>*</w:t>
      </w:r>
      <w:r w:rsidRPr="00AE4C72">
        <w:rPr>
          <w:rFonts w:ascii="宋体" w:eastAsia="宋体" w:hAnsi="宋体" w:cs="宋体"/>
          <w:b/>
          <w:color w:val="0070C0"/>
          <w:szCs w:val="21"/>
        </w:rPr>
        <w:t>, Xueqin Xu</w:t>
      </w:r>
      <w:r w:rsidRPr="00AE4C72">
        <w:rPr>
          <w:rFonts w:ascii="宋体" w:eastAsia="宋体" w:hAnsi="宋体" w:cs="宋体" w:hint="eastAsia"/>
          <w:b/>
          <w:color w:val="0070C0"/>
          <w:szCs w:val="21"/>
        </w:rPr>
        <w:t>*</w:t>
      </w:r>
    </w:p>
    <w:p w:rsidR="00AE4C72" w:rsidRPr="00AE4C72" w:rsidRDefault="00AE4C72" w:rsidP="006137B5">
      <w:pPr>
        <w:rPr>
          <w:rFonts w:ascii="宋体" w:eastAsia="宋体" w:hAnsi="宋体" w:cs="宋体"/>
          <w:b/>
          <w:color w:val="0070C0"/>
          <w:szCs w:val="21"/>
        </w:rPr>
      </w:pPr>
      <w:r w:rsidRPr="00AE4C72">
        <w:rPr>
          <w:rFonts w:ascii="宋体" w:eastAsia="宋体" w:hAnsi="宋体" w:cs="宋体"/>
          <w:b/>
          <w:color w:val="0070C0"/>
          <w:szCs w:val="21"/>
        </w:rPr>
        <w:t>*CORRESPONDENCE Shuangliao Wu</w:t>
      </w:r>
      <w:r w:rsidRPr="00AE4C72">
        <w:rPr>
          <w:rFonts w:ascii="宋体" w:eastAsia="宋体" w:hAnsi="宋体" w:cs="宋体" w:hint="eastAsia"/>
          <w:b/>
          <w:color w:val="0070C0"/>
          <w:szCs w:val="21"/>
        </w:rPr>
        <w:t>，</w:t>
      </w:r>
      <w:r w:rsidRPr="00AE4C72">
        <w:rPr>
          <w:rFonts w:ascii="宋体" w:eastAsia="宋体" w:hAnsi="宋体" w:cs="宋体"/>
          <w:b/>
          <w:color w:val="0070C0"/>
          <w:szCs w:val="21"/>
        </w:rPr>
        <w:t xml:space="preserve">wuslwz@163.com </w:t>
      </w:r>
      <w:r w:rsidRPr="00AE4C72">
        <w:rPr>
          <w:rFonts w:ascii="宋体" w:eastAsia="宋体" w:hAnsi="宋体" w:cs="宋体" w:hint="eastAsia"/>
          <w:b/>
          <w:color w:val="0070C0"/>
          <w:szCs w:val="21"/>
        </w:rPr>
        <w:t>；</w:t>
      </w:r>
      <w:r w:rsidRPr="00AE4C72">
        <w:rPr>
          <w:rFonts w:ascii="宋体" w:eastAsia="宋体" w:hAnsi="宋体" w:cs="宋体"/>
          <w:b/>
          <w:color w:val="0070C0"/>
          <w:szCs w:val="21"/>
        </w:rPr>
        <w:t>Xueqin Xu</w:t>
      </w:r>
      <w:r w:rsidRPr="00AE4C72">
        <w:rPr>
          <w:rFonts w:ascii="宋体" w:eastAsia="宋体" w:hAnsi="宋体" w:cs="宋体" w:hint="eastAsia"/>
          <w:b/>
          <w:color w:val="0070C0"/>
          <w:szCs w:val="21"/>
        </w:rPr>
        <w:t>，</w:t>
      </w:r>
      <w:r w:rsidRPr="00AE4C72">
        <w:rPr>
          <w:rFonts w:ascii="宋体" w:eastAsia="宋体" w:hAnsi="宋体" w:cs="宋体"/>
          <w:b/>
          <w:color w:val="0070C0"/>
          <w:szCs w:val="21"/>
        </w:rPr>
        <w:t>wzxxq@139.com</w:t>
      </w:r>
    </w:p>
    <w:p w:rsidR="00AE4C72" w:rsidRDefault="00AE4C72" w:rsidP="006137B5">
      <w:pPr>
        <w:rPr>
          <w:rFonts w:ascii="宋体" w:eastAsia="宋体" w:hAnsi="宋体" w:cs="宋体"/>
          <w:szCs w:val="21"/>
        </w:rPr>
      </w:pPr>
    </w:p>
    <w:p w:rsidR="006137B5" w:rsidRPr="006137B5" w:rsidRDefault="006137B5" w:rsidP="006137B5">
      <w:pPr>
        <w:rPr>
          <w:rFonts w:ascii="宋体" w:eastAsia="宋体" w:hAnsi="宋体" w:cs="宋体"/>
          <w:szCs w:val="21"/>
        </w:rPr>
      </w:pPr>
      <w:r w:rsidRPr="006137B5">
        <w:rPr>
          <w:rFonts w:ascii="宋体" w:eastAsia="宋体" w:hAnsi="宋体" w:cs="宋体"/>
          <w:szCs w:val="21"/>
        </w:rPr>
        <w:t>Author information:</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(1)Department of Clinical Laboratory Medicine, The Ding Li Clinical College of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Wenzhou Medical University, Wenzhou Central Hospital, Wenzhou, China.</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(2)Key Laboratory of Diagnosis and Treatment of New and Recurrent Infectious </w:t>
      </w:r>
    </w:p>
    <w:p w:rsidR="006137B5" w:rsidRPr="006137B5" w:rsidRDefault="006137B5" w:rsidP="006137B5">
      <w:pPr>
        <w:rPr>
          <w:rFonts w:ascii="宋体" w:eastAsia="宋体" w:hAnsi="宋体" w:cs="宋体"/>
          <w:szCs w:val="21"/>
        </w:rPr>
      </w:pPr>
      <w:r w:rsidRPr="006137B5">
        <w:rPr>
          <w:rFonts w:ascii="宋体" w:eastAsia="宋体" w:hAnsi="宋体" w:cs="宋体"/>
          <w:szCs w:val="21"/>
        </w:rPr>
        <w:lastRenderedPageBreak/>
        <w:t>Diseases of Wenzhou, Wenzhou Sixth People's Hospital, Wenzhou, China.</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(3)Medical Management Office, Wenzhou Municipal Public Hospital Management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Center, Wenzhou, China.</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(4)Department of Tuberculosis Clinic, The Ding Li Clinical College of Wenzhou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Medical University, Wenzhou Central Hospital, Wenzhou, China.</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(5)Department of Clinical Laboratory Medicine, Yueqing People's Hospital,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Wenzhou, Zhejiang, China.</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(6)Key Laboratory of Precision Medicine of Wenzhou, Wenzhou Central Hospital,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Wenzhou, China.</w:t>
      </w:r>
    </w:p>
    <w:p w:rsidR="006137B5" w:rsidRPr="006137B5" w:rsidRDefault="006137B5" w:rsidP="006137B5">
      <w:pPr>
        <w:rPr>
          <w:rFonts w:ascii="宋体" w:eastAsia="宋体" w:hAnsi="宋体" w:cs="宋体"/>
          <w:szCs w:val="21"/>
        </w:rPr>
      </w:pPr>
    </w:p>
    <w:p w:rsidR="006137B5" w:rsidRPr="006137B5" w:rsidRDefault="006137B5" w:rsidP="006137B5">
      <w:pPr>
        <w:rPr>
          <w:rFonts w:ascii="宋体" w:eastAsia="宋体" w:hAnsi="宋体" w:cs="宋体"/>
          <w:szCs w:val="21"/>
        </w:rPr>
      </w:pPr>
      <w:r w:rsidRPr="009E4E5F">
        <w:rPr>
          <w:rFonts w:ascii="宋体" w:eastAsia="宋体" w:hAnsi="宋体" w:cs="宋体"/>
          <w:b/>
          <w:szCs w:val="21"/>
        </w:rPr>
        <w:t xml:space="preserve">OBJECTIVE: </w:t>
      </w:r>
      <w:r w:rsidRPr="006137B5">
        <w:rPr>
          <w:rFonts w:ascii="宋体" w:eastAsia="宋体" w:hAnsi="宋体" w:cs="宋体"/>
          <w:szCs w:val="21"/>
        </w:rPr>
        <w:t xml:space="preserve">This study aimed to analyze the epidemiological characteristics and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trends of notified multidrug-resistant tuberculosis (MDR-TB) in Wenzhou City,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China, from 2014 to 2023, with a focus on differences between migrant and local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populations among reported TB cases.</w:t>
      </w:r>
    </w:p>
    <w:p w:rsidR="006137B5" w:rsidRPr="006137B5" w:rsidRDefault="006137B5" w:rsidP="006137B5">
      <w:pPr>
        <w:rPr>
          <w:rFonts w:ascii="宋体" w:eastAsia="宋体" w:hAnsi="宋体" w:cs="宋体"/>
          <w:szCs w:val="21"/>
        </w:rPr>
      </w:pPr>
      <w:r w:rsidRPr="009E4E5F">
        <w:rPr>
          <w:rFonts w:ascii="宋体" w:eastAsia="宋体" w:hAnsi="宋体" w:cs="宋体"/>
          <w:b/>
          <w:szCs w:val="21"/>
        </w:rPr>
        <w:t>METHODS:</w:t>
      </w:r>
      <w:r w:rsidRPr="006137B5">
        <w:rPr>
          <w:rFonts w:ascii="宋体" w:eastAsia="宋体" w:hAnsi="宋体" w:cs="宋体"/>
          <w:szCs w:val="21"/>
        </w:rPr>
        <w:t xml:space="preserve"> This was a facility-based retrospective cohort study that included all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bacteriologically confirmed TB cases notified between 1 January 2014 and 31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December 2023 in the Tuberculosis Information Management System (TBIMS) of the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Chinese Center for Disease Control and Prevention and the hospital's laboratory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information system, provided they had available phenotypic drug-susceptibility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testing (pDST) results. Pearson's chi-square test was used to compare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drug-resistance rates between groups, the trend chi-square test was applied to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assess temporal changes, and a Sankey diagram was employed to illustrate the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origins and intra-city distribution of MDR-TB among the migrant population.</w:t>
      </w:r>
    </w:p>
    <w:p w:rsidR="006137B5" w:rsidRPr="006137B5" w:rsidRDefault="006137B5" w:rsidP="006137B5">
      <w:pPr>
        <w:rPr>
          <w:rFonts w:ascii="宋体" w:eastAsia="宋体" w:hAnsi="宋体" w:cs="宋体"/>
          <w:szCs w:val="21"/>
        </w:rPr>
      </w:pPr>
      <w:r w:rsidRPr="009E4E5F">
        <w:rPr>
          <w:rFonts w:ascii="宋体" w:eastAsia="宋体" w:hAnsi="宋体" w:cs="宋体"/>
          <w:b/>
          <w:szCs w:val="21"/>
        </w:rPr>
        <w:t>RESULTS:</w:t>
      </w:r>
      <w:r w:rsidRPr="006137B5">
        <w:rPr>
          <w:rFonts w:ascii="宋体" w:eastAsia="宋体" w:hAnsi="宋体" w:cs="宋体"/>
          <w:szCs w:val="21"/>
        </w:rPr>
        <w:t xml:space="preserve"> Among 10,993 notified TB patients, 734 (6.68%) were classified as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MDR-TB. The proportion of MDR-TB among notified cases declined over the study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period (p</w:t>
      </w:r>
      <w:r w:rsidRPr="006137B5">
        <w:rPr>
          <w:rFonts w:ascii="Times New Roman" w:eastAsia="宋体" w:hAnsi="Times New Roman" w:cs="Times New Roman"/>
          <w:szCs w:val="21"/>
        </w:rPr>
        <w:t> </w:t>
      </w:r>
      <w:r w:rsidRPr="006137B5">
        <w:rPr>
          <w:rFonts w:ascii="宋体" w:eastAsia="宋体" w:hAnsi="宋体" w:cs="宋体"/>
          <w:szCs w:val="21"/>
        </w:rPr>
        <w:t>&lt;</w:t>
      </w:r>
      <w:r w:rsidRPr="006137B5">
        <w:rPr>
          <w:rFonts w:ascii="Times New Roman" w:eastAsia="宋体" w:hAnsi="Times New Roman" w:cs="Times New Roman"/>
          <w:szCs w:val="21"/>
        </w:rPr>
        <w:t> </w:t>
      </w:r>
      <w:r w:rsidRPr="006137B5">
        <w:rPr>
          <w:rFonts w:ascii="宋体" w:eastAsia="宋体" w:hAnsi="宋体" w:cs="宋体"/>
          <w:szCs w:val="21"/>
        </w:rPr>
        <w:t xml:space="preserve">0.001). Nearly half (352/734; 47.96%) of the notified MDR-TB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patients were migrants; 226 (64.21%) originated from elsewhere in Zhejiang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Province, and 126 (35.79%) came from outside the province. Guizhou, Jiangxi and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Sichuan were the leading external contributors. Within Wenzhou, Yueqing City,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Yongjia County and Ouhai District reported the highest numbers of migrant MDR-TB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notifications.</w:t>
      </w:r>
    </w:p>
    <w:p w:rsidR="006137B5" w:rsidRPr="006137B5" w:rsidRDefault="006137B5" w:rsidP="006137B5">
      <w:pPr>
        <w:rPr>
          <w:rFonts w:ascii="宋体" w:eastAsia="宋体" w:hAnsi="宋体" w:cs="宋体"/>
          <w:szCs w:val="21"/>
        </w:rPr>
      </w:pPr>
      <w:r w:rsidRPr="009E4E5F">
        <w:rPr>
          <w:rFonts w:ascii="宋体" w:eastAsia="宋体" w:hAnsi="宋体" w:cs="宋体"/>
          <w:b/>
          <w:szCs w:val="21"/>
        </w:rPr>
        <w:t>CONCLUSION:</w:t>
      </w:r>
      <w:r w:rsidRPr="006137B5">
        <w:rPr>
          <w:rFonts w:ascii="宋体" w:eastAsia="宋体" w:hAnsi="宋体" w:cs="宋体"/>
          <w:szCs w:val="21"/>
        </w:rPr>
        <w:t xml:space="preserve"> The proportion of MDR-TB among notified TB cases in Wenzhou City has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steadily decreased. Migrants account for almost half of these notified MDR-TB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cases. Surveillance-driven and migrant-targeted interventions should be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prioritized to further reduce MDR-TB transmission.</w:t>
      </w:r>
    </w:p>
    <w:p w:rsidR="006137B5" w:rsidRPr="006137B5" w:rsidRDefault="006137B5" w:rsidP="006137B5">
      <w:pPr>
        <w:rPr>
          <w:rFonts w:ascii="宋体" w:eastAsia="宋体" w:hAnsi="宋体" w:cs="宋体"/>
          <w:szCs w:val="21"/>
        </w:rPr>
      </w:pPr>
    </w:p>
    <w:p w:rsidR="006137B5" w:rsidRPr="006137B5" w:rsidRDefault="006137B5" w:rsidP="006137B5">
      <w:pPr>
        <w:rPr>
          <w:rFonts w:ascii="宋体" w:eastAsia="宋体" w:hAnsi="宋体" w:cs="宋体"/>
          <w:szCs w:val="21"/>
        </w:rPr>
      </w:pPr>
      <w:r w:rsidRPr="006137B5">
        <w:rPr>
          <w:rFonts w:ascii="宋体" w:eastAsia="宋体" w:hAnsi="宋体" w:cs="宋体"/>
          <w:szCs w:val="21"/>
        </w:rPr>
        <w:t>Copyright © 2025 Wu, Cai, Xu, Lin, Wu and Xu.</w:t>
      </w:r>
    </w:p>
    <w:p w:rsidR="006137B5" w:rsidRPr="006137B5" w:rsidRDefault="006137B5" w:rsidP="006137B5">
      <w:pPr>
        <w:rPr>
          <w:rFonts w:ascii="宋体" w:eastAsia="宋体" w:hAnsi="宋体" w:cs="宋体"/>
          <w:szCs w:val="21"/>
        </w:rPr>
      </w:pPr>
    </w:p>
    <w:p w:rsidR="006137B5" w:rsidRPr="006137B5" w:rsidRDefault="006137B5" w:rsidP="006137B5">
      <w:pPr>
        <w:rPr>
          <w:rFonts w:ascii="宋体" w:eastAsia="宋体" w:hAnsi="宋体" w:cs="宋体"/>
          <w:szCs w:val="21"/>
        </w:rPr>
      </w:pPr>
      <w:r w:rsidRPr="006137B5">
        <w:rPr>
          <w:rFonts w:ascii="宋体" w:eastAsia="宋体" w:hAnsi="宋体" w:cs="宋体"/>
          <w:szCs w:val="21"/>
        </w:rPr>
        <w:t>DOI: 10.3389/fpubh.2025.1600214</w:t>
      </w:r>
    </w:p>
    <w:p w:rsidR="006137B5" w:rsidRPr="006137B5" w:rsidRDefault="006137B5" w:rsidP="006137B5">
      <w:pPr>
        <w:rPr>
          <w:rFonts w:ascii="宋体" w:eastAsia="宋体" w:hAnsi="宋体" w:cs="宋体"/>
          <w:szCs w:val="21"/>
        </w:rPr>
      </w:pPr>
      <w:r w:rsidRPr="006137B5">
        <w:rPr>
          <w:rFonts w:ascii="宋体" w:eastAsia="宋体" w:hAnsi="宋体" w:cs="宋体"/>
          <w:szCs w:val="21"/>
        </w:rPr>
        <w:t>PMCID: PMC12394496</w:t>
      </w:r>
    </w:p>
    <w:p w:rsidR="006137B5" w:rsidRPr="006137B5" w:rsidRDefault="006137B5" w:rsidP="006137B5">
      <w:pPr>
        <w:rPr>
          <w:rFonts w:ascii="宋体" w:eastAsia="宋体" w:hAnsi="宋体" w:cs="宋体"/>
          <w:szCs w:val="21"/>
        </w:rPr>
      </w:pPr>
      <w:r w:rsidRPr="006137B5">
        <w:rPr>
          <w:rFonts w:ascii="宋体" w:eastAsia="宋体" w:hAnsi="宋体" w:cs="宋体"/>
          <w:szCs w:val="21"/>
        </w:rPr>
        <w:t>PMID: 40893206 [Indexed for MEDLINE]</w:t>
      </w:r>
    </w:p>
    <w:p w:rsidR="006137B5" w:rsidRPr="006137B5" w:rsidRDefault="006137B5" w:rsidP="006137B5">
      <w:pPr>
        <w:rPr>
          <w:rFonts w:ascii="宋体" w:eastAsia="宋体" w:hAnsi="宋体" w:cs="宋体"/>
          <w:szCs w:val="21"/>
        </w:rPr>
      </w:pPr>
    </w:p>
    <w:p w:rsidR="006137B5" w:rsidRPr="0052454A" w:rsidRDefault="007844B7" w:rsidP="006137B5">
      <w:pPr>
        <w:rPr>
          <w:rFonts w:ascii="宋体" w:eastAsia="宋体" w:hAnsi="宋体" w:cs="宋体"/>
          <w:b/>
          <w:color w:val="FF0000"/>
          <w:szCs w:val="21"/>
        </w:rPr>
      </w:pPr>
      <w:r>
        <w:rPr>
          <w:rFonts w:ascii="宋体" w:eastAsia="宋体" w:hAnsi="宋体" w:cs="宋体"/>
          <w:b/>
          <w:color w:val="FF0000"/>
          <w:szCs w:val="21"/>
        </w:rPr>
        <w:t>19</w:t>
      </w:r>
      <w:r w:rsidR="006137B5" w:rsidRPr="0052454A">
        <w:rPr>
          <w:rFonts w:ascii="宋体" w:eastAsia="宋体" w:hAnsi="宋体" w:cs="宋体"/>
          <w:b/>
          <w:color w:val="FF0000"/>
          <w:szCs w:val="21"/>
        </w:rPr>
        <w:t xml:space="preserve">. Ann Clin Microbiol Antimicrob. 2025 Aug 31;24(1):48. doi: </w:t>
      </w:r>
    </w:p>
    <w:p w:rsidR="006137B5" w:rsidRPr="0052454A" w:rsidRDefault="006137B5" w:rsidP="006137B5">
      <w:pPr>
        <w:rPr>
          <w:rFonts w:ascii="宋体" w:eastAsia="宋体" w:hAnsi="宋体" w:cs="宋体"/>
          <w:b/>
          <w:color w:val="FF0000"/>
          <w:szCs w:val="21"/>
        </w:rPr>
      </w:pPr>
      <w:r w:rsidRPr="0052454A">
        <w:rPr>
          <w:rFonts w:ascii="宋体" w:eastAsia="宋体" w:hAnsi="宋体" w:cs="宋体"/>
          <w:b/>
          <w:color w:val="FF0000"/>
          <w:szCs w:val="21"/>
        </w:rPr>
        <w:t>10.1186/s12941-025-00816-5.</w:t>
      </w:r>
    </w:p>
    <w:p w:rsidR="006137B5" w:rsidRPr="006137B5" w:rsidRDefault="006137B5" w:rsidP="006137B5">
      <w:pPr>
        <w:rPr>
          <w:rFonts w:ascii="宋体" w:eastAsia="宋体" w:hAnsi="宋体" w:cs="宋体"/>
          <w:szCs w:val="21"/>
        </w:rPr>
      </w:pP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Efflux pumps positively contribute to rifampin resistance in rpoB mutant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Mycobacterium tuberculosis.</w:t>
      </w:r>
    </w:p>
    <w:p w:rsidR="006137B5" w:rsidRPr="006137B5" w:rsidRDefault="006137B5" w:rsidP="006137B5">
      <w:pPr>
        <w:rPr>
          <w:rFonts w:ascii="宋体" w:eastAsia="宋体" w:hAnsi="宋体" w:cs="宋体"/>
          <w:szCs w:val="21"/>
        </w:rPr>
      </w:pP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Meng F(#)(1), Chen Y(#)(1), Wei Z(1), Liu Z(1), Lai X(1)(2), Lei J(1), Wu L(1),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Deng L(1), Wang Q(1), Yang Y(1), Li H(1), Xie B(1), Gong L(1), Niu Q(1), Gao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J(1), Wang N(3)(4), Hu J(5).</w:t>
      </w:r>
    </w:p>
    <w:p w:rsidR="006137B5" w:rsidRDefault="006137B5" w:rsidP="006137B5">
      <w:pPr>
        <w:rPr>
          <w:rFonts w:ascii="宋体" w:eastAsia="宋体" w:hAnsi="宋体" w:cs="宋体"/>
          <w:szCs w:val="21"/>
        </w:rPr>
      </w:pPr>
    </w:p>
    <w:p w:rsidR="00CC277C" w:rsidRPr="00CC277C" w:rsidRDefault="00CC277C" w:rsidP="006137B5">
      <w:pPr>
        <w:rPr>
          <w:rFonts w:ascii="宋体" w:eastAsia="宋体" w:hAnsi="宋体" w:cs="宋体"/>
          <w:b/>
          <w:color w:val="0070C0"/>
          <w:szCs w:val="21"/>
        </w:rPr>
      </w:pPr>
      <w:r w:rsidRPr="00CC277C">
        <w:rPr>
          <w:rFonts w:ascii="宋体" w:eastAsia="宋体" w:hAnsi="宋体" w:cs="宋体"/>
          <w:b/>
          <w:color w:val="0070C0"/>
          <w:szCs w:val="21"/>
        </w:rPr>
        <w:t>Fanrong Meng, Yuanjin Chen, Zeyou Wei, Zhihui Liu, Xiaomin Lai, Jie Lei, Ling Wu, Li Deng, Qi Wang, Yu Yang, Hua Li, Bei Xie, Lan Gong, Qun Niu, Junwen Gao, Nan Wang</w:t>
      </w:r>
      <w:r w:rsidRPr="00CC277C">
        <w:rPr>
          <w:rFonts w:ascii="宋体" w:eastAsia="宋体" w:hAnsi="宋体" w:cs="宋体" w:hint="eastAsia"/>
          <w:b/>
          <w:color w:val="0070C0"/>
          <w:szCs w:val="21"/>
        </w:rPr>
        <w:t>*</w:t>
      </w:r>
      <w:r w:rsidRPr="00CC277C">
        <w:rPr>
          <w:rFonts w:ascii="宋体" w:eastAsia="宋体" w:hAnsi="宋体" w:cs="宋体"/>
          <w:b/>
          <w:color w:val="0070C0"/>
          <w:szCs w:val="21"/>
        </w:rPr>
        <w:t>, Jinxing Hu</w:t>
      </w:r>
      <w:r w:rsidRPr="00CC277C">
        <w:rPr>
          <w:rFonts w:ascii="宋体" w:eastAsia="宋体" w:hAnsi="宋体" w:cs="宋体" w:hint="eastAsia"/>
          <w:b/>
          <w:color w:val="0070C0"/>
          <w:szCs w:val="21"/>
        </w:rPr>
        <w:t>*</w:t>
      </w:r>
    </w:p>
    <w:p w:rsidR="00CC277C" w:rsidRPr="00CC277C" w:rsidRDefault="00CC277C" w:rsidP="00CC277C">
      <w:pPr>
        <w:jc w:val="left"/>
        <w:rPr>
          <w:rFonts w:ascii="宋体" w:eastAsia="宋体" w:hAnsi="宋体" w:cs="宋体"/>
          <w:b/>
          <w:color w:val="0070C0"/>
          <w:szCs w:val="21"/>
        </w:rPr>
      </w:pPr>
      <w:r w:rsidRPr="00CC277C">
        <w:rPr>
          <w:rFonts w:ascii="宋体" w:eastAsia="宋体" w:hAnsi="宋体" w:cs="宋体"/>
          <w:b/>
          <w:color w:val="0070C0"/>
          <w:szCs w:val="21"/>
        </w:rPr>
        <w:t>*Correspondence: Nan Wang</w:t>
      </w:r>
      <w:r w:rsidRPr="00CC277C">
        <w:rPr>
          <w:rFonts w:ascii="宋体" w:eastAsia="宋体" w:hAnsi="宋体" w:cs="宋体" w:hint="eastAsia"/>
          <w:b/>
          <w:color w:val="0070C0"/>
          <w:szCs w:val="21"/>
        </w:rPr>
        <w:t>，</w:t>
      </w:r>
      <w:r w:rsidRPr="00CC277C">
        <w:rPr>
          <w:rFonts w:ascii="宋体" w:eastAsia="宋体" w:hAnsi="宋体" w:cs="宋体"/>
          <w:b/>
          <w:color w:val="0070C0"/>
          <w:szCs w:val="21"/>
        </w:rPr>
        <w:t xml:space="preserve"> wangnanzhj@126.com </w:t>
      </w:r>
      <w:r w:rsidRPr="00CC277C">
        <w:rPr>
          <w:rFonts w:ascii="宋体" w:eastAsia="宋体" w:hAnsi="宋体" w:cs="宋体" w:hint="eastAsia"/>
          <w:b/>
          <w:color w:val="0070C0"/>
          <w:szCs w:val="21"/>
        </w:rPr>
        <w:t>；</w:t>
      </w:r>
      <w:r w:rsidRPr="00CC277C">
        <w:rPr>
          <w:rFonts w:ascii="宋体" w:eastAsia="宋体" w:hAnsi="宋体" w:cs="宋体"/>
          <w:b/>
          <w:color w:val="0070C0"/>
          <w:szCs w:val="21"/>
        </w:rPr>
        <w:t>Jinxing Hu</w:t>
      </w:r>
      <w:r w:rsidRPr="00CC277C">
        <w:rPr>
          <w:rFonts w:ascii="宋体" w:eastAsia="宋体" w:hAnsi="宋体" w:cs="宋体" w:hint="eastAsia"/>
          <w:b/>
          <w:color w:val="0070C0"/>
          <w:szCs w:val="21"/>
        </w:rPr>
        <w:t>，</w:t>
      </w:r>
      <w:r w:rsidRPr="00CC277C">
        <w:rPr>
          <w:rFonts w:ascii="宋体" w:eastAsia="宋体" w:hAnsi="宋体" w:cs="宋体"/>
          <w:b/>
          <w:color w:val="0070C0"/>
          <w:szCs w:val="21"/>
        </w:rPr>
        <w:t xml:space="preserve"> hujinxing@gzhmu.edu.cn</w:t>
      </w:r>
    </w:p>
    <w:p w:rsidR="00CC277C" w:rsidRDefault="00CC277C" w:rsidP="006137B5">
      <w:pPr>
        <w:rPr>
          <w:rFonts w:ascii="宋体" w:eastAsia="宋体" w:hAnsi="宋体" w:cs="宋体"/>
          <w:szCs w:val="21"/>
        </w:rPr>
      </w:pPr>
    </w:p>
    <w:p w:rsidR="006137B5" w:rsidRPr="006137B5" w:rsidRDefault="006137B5" w:rsidP="006137B5">
      <w:pPr>
        <w:rPr>
          <w:rFonts w:ascii="宋体" w:eastAsia="宋体" w:hAnsi="宋体" w:cs="宋体"/>
          <w:szCs w:val="21"/>
        </w:rPr>
      </w:pPr>
      <w:r w:rsidRPr="006137B5">
        <w:rPr>
          <w:rFonts w:ascii="宋体" w:eastAsia="宋体" w:hAnsi="宋体" w:cs="宋体"/>
          <w:szCs w:val="21"/>
        </w:rPr>
        <w:t>Author information:</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(1)State Key Laboratory of Respiratory Disease, Guangzhou Key Laboratory of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Tuberculosis Research, Institute of Pulmonary Diseases, Guangzhou Chest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Hospital, Institute of Tuberculosis, Guangzhou Medical University, Guangzhou,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People's Republic of China.</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(2)Sun Yat-Sen University, School of Public Health, Shen Zhen, People's Republic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of China.</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(3)State Key Laboratory of Respiratory Disease, Guangzhou Key Laboratory of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Tuberculosis Research, Institute of Pulmonary Diseases, Guangzhou Chest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Hospital, Institute of Tuberculosis, Guangzhou Medical University, Guangzhou,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People's Republic of China. wangnanzhj@126.com.</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(4)State Key Laboratory of Respiratory Disease, Guangzhou Key Laboratory of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Tuberculosis Research, Department of Tuberculosis, Guangzhou Chest Hospital,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Institute of Tuberculosis, Guangzhou Medical University, 62 Hengzhigang Rd,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Yuexiu District, Guangzhou, 510095, People's Republic of China.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wangnanzhj@126.com.</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(5)State Key Laboratory of Respiratory Disease, Guangzhou Key Laboratory of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Tuberculosis Research, Department of Tuberculosis, Guangzhou Chest Hospital,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Institute of Tuberculosis, Guangzhou Medical University, 62 Hengzhigang Rd,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Yuexiu District, Guangzhou, 510095, People's Republic of China.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hujinxing@gzhmu.edu.cn.</w:t>
      </w:r>
    </w:p>
    <w:p w:rsidR="006137B5" w:rsidRPr="006137B5" w:rsidRDefault="006137B5" w:rsidP="006137B5">
      <w:pPr>
        <w:rPr>
          <w:rFonts w:ascii="宋体" w:eastAsia="宋体" w:hAnsi="宋体" w:cs="宋体"/>
          <w:szCs w:val="21"/>
        </w:rPr>
      </w:pPr>
      <w:r w:rsidRPr="006137B5">
        <w:rPr>
          <w:rFonts w:ascii="宋体" w:eastAsia="宋体" w:hAnsi="宋体" w:cs="宋体"/>
          <w:szCs w:val="21"/>
        </w:rPr>
        <w:t>(#)Contributed equally</w:t>
      </w:r>
    </w:p>
    <w:p w:rsidR="006137B5" w:rsidRPr="006137B5" w:rsidRDefault="006137B5" w:rsidP="006137B5">
      <w:pPr>
        <w:rPr>
          <w:rFonts w:ascii="宋体" w:eastAsia="宋体" w:hAnsi="宋体" w:cs="宋体"/>
          <w:szCs w:val="21"/>
        </w:rPr>
      </w:pPr>
    </w:p>
    <w:p w:rsidR="006137B5" w:rsidRPr="006137B5" w:rsidRDefault="006137B5" w:rsidP="006137B5">
      <w:pPr>
        <w:rPr>
          <w:rFonts w:ascii="宋体" w:eastAsia="宋体" w:hAnsi="宋体" w:cs="宋体"/>
          <w:szCs w:val="21"/>
        </w:rPr>
      </w:pPr>
      <w:r w:rsidRPr="0052454A">
        <w:rPr>
          <w:rFonts w:ascii="宋体" w:eastAsia="宋体" w:hAnsi="宋体" w:cs="宋体"/>
          <w:b/>
          <w:szCs w:val="21"/>
        </w:rPr>
        <w:t>BACKGROUND:</w:t>
      </w:r>
      <w:r w:rsidRPr="006137B5">
        <w:rPr>
          <w:rFonts w:ascii="宋体" w:eastAsia="宋体" w:hAnsi="宋体" w:cs="宋体"/>
          <w:szCs w:val="21"/>
        </w:rPr>
        <w:t xml:space="preserve"> While several recent studies have documented the importance of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efflux pumps as mediators of rifampin (RIF) resistance, it remains uncertain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which efflux pumps play major roles in rifampin-resistant Mycobacterium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tuberculosis strains harboring rpoB gene mutations.</w:t>
      </w:r>
    </w:p>
    <w:p w:rsidR="006137B5" w:rsidRPr="006137B5" w:rsidRDefault="006137B5" w:rsidP="006137B5">
      <w:pPr>
        <w:rPr>
          <w:rFonts w:ascii="宋体" w:eastAsia="宋体" w:hAnsi="宋体" w:cs="宋体"/>
          <w:szCs w:val="21"/>
        </w:rPr>
      </w:pPr>
      <w:r w:rsidRPr="0052454A">
        <w:rPr>
          <w:rFonts w:ascii="宋体" w:eastAsia="宋体" w:hAnsi="宋体" w:cs="宋体"/>
          <w:b/>
          <w:szCs w:val="21"/>
        </w:rPr>
        <w:t>METHODS:</w:t>
      </w:r>
      <w:r w:rsidRPr="006137B5">
        <w:rPr>
          <w:rFonts w:ascii="宋体" w:eastAsia="宋体" w:hAnsi="宋体" w:cs="宋体"/>
          <w:szCs w:val="21"/>
        </w:rPr>
        <w:t xml:space="preserve"> In this study, minimum inhibitory concentration (MIC) values for RIF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were calculated and the expression of 13 efflux pump genes was evaluated across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35 clinical rifampicin-resistant M. tuberculosis isolates carrying the rpoB </w:t>
      </w:r>
    </w:p>
    <w:p w:rsidR="006137B5" w:rsidRPr="006137B5" w:rsidRDefault="006137B5" w:rsidP="006137B5">
      <w:pPr>
        <w:rPr>
          <w:rFonts w:ascii="宋体" w:eastAsia="宋体" w:hAnsi="宋体" w:cs="宋体"/>
          <w:szCs w:val="21"/>
        </w:rPr>
      </w:pPr>
      <w:r w:rsidRPr="006137B5">
        <w:rPr>
          <w:rFonts w:ascii="宋体" w:eastAsia="宋体" w:hAnsi="宋体" w:cs="宋体"/>
          <w:szCs w:val="21"/>
        </w:rPr>
        <w:lastRenderedPageBreak/>
        <w:t>mutation before and after efflux pump inhibitor treatment.</w:t>
      </w:r>
    </w:p>
    <w:p w:rsidR="006137B5" w:rsidRPr="006137B5" w:rsidRDefault="006137B5" w:rsidP="006137B5">
      <w:pPr>
        <w:rPr>
          <w:rFonts w:ascii="宋体" w:eastAsia="宋体" w:hAnsi="宋体" w:cs="宋体"/>
          <w:szCs w:val="21"/>
        </w:rPr>
      </w:pPr>
      <w:r w:rsidRPr="0052454A">
        <w:rPr>
          <w:rFonts w:ascii="宋体" w:eastAsia="宋体" w:hAnsi="宋体" w:cs="宋体"/>
          <w:b/>
          <w:szCs w:val="21"/>
        </w:rPr>
        <w:t>RESULTS:</w:t>
      </w:r>
      <w:r w:rsidRPr="006137B5">
        <w:rPr>
          <w:rFonts w:ascii="宋体" w:eastAsia="宋体" w:hAnsi="宋体" w:cs="宋体"/>
          <w:szCs w:val="21"/>
        </w:rPr>
        <w:t xml:space="preserve"> Rv0677c and Rv0191 were identified as the efflux pump genes that were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most frequently overexpressed, and treatment with the inhibitor verapamil was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sufficient to synergistically enhance the antibacterial effects of RIF and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downregulate efflux pump gene expression. Greater numbers of overexpressed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efflux pump genes were associated with a more significant decrease in the MIC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value for RIF following verapamil treatment. Levels of RIF resistance for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clinical isolates with the rpoB codon 445 mutation were also found to be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significantly less susceptible to the effects of verapamil as compared to the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resistance of strains with the codon 450 and 170 mutations.</w:t>
      </w:r>
    </w:p>
    <w:p w:rsidR="006137B5" w:rsidRPr="006137B5" w:rsidRDefault="006137B5" w:rsidP="006137B5">
      <w:pPr>
        <w:rPr>
          <w:rFonts w:ascii="宋体" w:eastAsia="宋体" w:hAnsi="宋体" w:cs="宋体"/>
          <w:szCs w:val="21"/>
        </w:rPr>
      </w:pPr>
      <w:r w:rsidRPr="0052454A">
        <w:rPr>
          <w:rFonts w:ascii="宋体" w:eastAsia="宋体" w:hAnsi="宋体" w:cs="宋体"/>
          <w:b/>
          <w:szCs w:val="21"/>
        </w:rPr>
        <w:t>CONCLUSIONS:</w:t>
      </w:r>
      <w:r w:rsidRPr="006137B5">
        <w:rPr>
          <w:rFonts w:ascii="宋体" w:eastAsia="宋体" w:hAnsi="宋体" w:cs="宋体"/>
          <w:szCs w:val="21"/>
        </w:rPr>
        <w:t xml:space="preserve"> These results suggest that levels of RIF resistance in clinical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RIF-resistant M. tuberculosis isolates are ultimately determined by a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combination of efflux pump activity and rpoB gene mutations.</w:t>
      </w:r>
    </w:p>
    <w:p w:rsidR="006137B5" w:rsidRPr="006137B5" w:rsidRDefault="006137B5" w:rsidP="006137B5">
      <w:pPr>
        <w:rPr>
          <w:rFonts w:ascii="宋体" w:eastAsia="宋体" w:hAnsi="宋体" w:cs="宋体"/>
          <w:szCs w:val="21"/>
        </w:rPr>
      </w:pPr>
    </w:p>
    <w:p w:rsidR="006137B5" w:rsidRPr="006137B5" w:rsidRDefault="006137B5" w:rsidP="006137B5">
      <w:pPr>
        <w:rPr>
          <w:rFonts w:ascii="宋体" w:eastAsia="宋体" w:hAnsi="宋体" w:cs="宋体"/>
          <w:szCs w:val="21"/>
        </w:rPr>
      </w:pPr>
      <w:r w:rsidRPr="006137B5">
        <w:rPr>
          <w:rFonts w:ascii="宋体" w:eastAsia="宋体" w:hAnsi="宋体" w:cs="宋体" w:hint="eastAsia"/>
          <w:szCs w:val="21"/>
        </w:rPr>
        <w:t>©</w:t>
      </w:r>
      <w:r w:rsidRPr="006137B5">
        <w:rPr>
          <w:rFonts w:ascii="宋体" w:eastAsia="宋体" w:hAnsi="宋体" w:cs="宋体"/>
          <w:szCs w:val="21"/>
        </w:rPr>
        <w:t xml:space="preserve"> 2025. The Author(s).</w:t>
      </w:r>
    </w:p>
    <w:p w:rsidR="006137B5" w:rsidRPr="006137B5" w:rsidRDefault="006137B5" w:rsidP="006137B5">
      <w:pPr>
        <w:rPr>
          <w:rFonts w:ascii="宋体" w:eastAsia="宋体" w:hAnsi="宋体" w:cs="宋体"/>
          <w:szCs w:val="21"/>
        </w:rPr>
      </w:pPr>
    </w:p>
    <w:p w:rsidR="006137B5" w:rsidRPr="006137B5" w:rsidRDefault="006137B5" w:rsidP="006137B5">
      <w:pPr>
        <w:rPr>
          <w:rFonts w:ascii="宋体" w:eastAsia="宋体" w:hAnsi="宋体" w:cs="宋体"/>
          <w:szCs w:val="21"/>
        </w:rPr>
      </w:pPr>
      <w:r w:rsidRPr="006137B5">
        <w:rPr>
          <w:rFonts w:ascii="宋体" w:eastAsia="宋体" w:hAnsi="宋体" w:cs="宋体"/>
          <w:szCs w:val="21"/>
        </w:rPr>
        <w:t>DOI: 10.1186/s12941-025-00816-5</w:t>
      </w:r>
    </w:p>
    <w:p w:rsidR="006137B5" w:rsidRPr="006137B5" w:rsidRDefault="006137B5" w:rsidP="006137B5">
      <w:pPr>
        <w:rPr>
          <w:rFonts w:ascii="宋体" w:eastAsia="宋体" w:hAnsi="宋体" w:cs="宋体"/>
          <w:szCs w:val="21"/>
        </w:rPr>
      </w:pPr>
      <w:r w:rsidRPr="006137B5">
        <w:rPr>
          <w:rFonts w:ascii="宋体" w:eastAsia="宋体" w:hAnsi="宋体" w:cs="宋体"/>
          <w:szCs w:val="21"/>
        </w:rPr>
        <w:t>PMCID: PMC12400691</w:t>
      </w:r>
    </w:p>
    <w:p w:rsidR="006137B5" w:rsidRPr="006137B5" w:rsidRDefault="006137B5" w:rsidP="006137B5">
      <w:pPr>
        <w:rPr>
          <w:rFonts w:ascii="宋体" w:eastAsia="宋体" w:hAnsi="宋体" w:cs="宋体"/>
          <w:szCs w:val="21"/>
        </w:rPr>
      </w:pPr>
      <w:r w:rsidRPr="006137B5">
        <w:rPr>
          <w:rFonts w:ascii="宋体" w:eastAsia="宋体" w:hAnsi="宋体" w:cs="宋体"/>
          <w:szCs w:val="21"/>
        </w:rPr>
        <w:t>PMID: 40887591 [Indexed for MEDLINE]</w:t>
      </w:r>
    </w:p>
    <w:p w:rsidR="006137B5" w:rsidRPr="006137B5" w:rsidRDefault="006137B5" w:rsidP="006137B5">
      <w:pPr>
        <w:rPr>
          <w:rFonts w:ascii="宋体" w:eastAsia="宋体" w:hAnsi="宋体" w:cs="宋体"/>
          <w:szCs w:val="21"/>
        </w:rPr>
      </w:pPr>
    </w:p>
    <w:p w:rsidR="006137B5" w:rsidRPr="0052454A" w:rsidRDefault="007844B7" w:rsidP="006137B5">
      <w:pPr>
        <w:rPr>
          <w:rFonts w:ascii="宋体" w:eastAsia="宋体" w:hAnsi="宋体" w:cs="宋体"/>
          <w:b/>
          <w:color w:val="FF0000"/>
          <w:szCs w:val="21"/>
        </w:rPr>
      </w:pPr>
      <w:r>
        <w:rPr>
          <w:rFonts w:ascii="宋体" w:eastAsia="宋体" w:hAnsi="宋体" w:cs="宋体"/>
          <w:b/>
          <w:color w:val="FF0000"/>
          <w:szCs w:val="21"/>
        </w:rPr>
        <w:t>20</w:t>
      </w:r>
      <w:r w:rsidR="006137B5" w:rsidRPr="0052454A">
        <w:rPr>
          <w:rFonts w:ascii="宋体" w:eastAsia="宋体" w:hAnsi="宋体" w:cs="宋体"/>
          <w:b/>
          <w:color w:val="FF0000"/>
          <w:szCs w:val="21"/>
        </w:rPr>
        <w:t xml:space="preserve">. J Infect. 2025 Aug 29;91(3):106605. doi: 10.1016/j.jinf.2025.106605. Online </w:t>
      </w:r>
    </w:p>
    <w:p w:rsidR="006137B5" w:rsidRPr="0052454A" w:rsidRDefault="006137B5" w:rsidP="006137B5">
      <w:pPr>
        <w:rPr>
          <w:rFonts w:ascii="宋体" w:eastAsia="宋体" w:hAnsi="宋体" w:cs="宋体"/>
          <w:b/>
          <w:color w:val="FF0000"/>
          <w:szCs w:val="21"/>
        </w:rPr>
      </w:pPr>
      <w:r w:rsidRPr="0052454A">
        <w:rPr>
          <w:rFonts w:ascii="宋体" w:eastAsia="宋体" w:hAnsi="宋体" w:cs="宋体"/>
          <w:b/>
          <w:color w:val="FF0000"/>
          <w:szCs w:val="21"/>
        </w:rPr>
        <w:t>ahead of print.</w:t>
      </w:r>
    </w:p>
    <w:p w:rsidR="006137B5" w:rsidRPr="006137B5" w:rsidRDefault="006137B5" w:rsidP="006137B5">
      <w:pPr>
        <w:rPr>
          <w:rFonts w:ascii="宋体" w:eastAsia="宋体" w:hAnsi="宋体" w:cs="宋体"/>
          <w:szCs w:val="21"/>
        </w:rPr>
      </w:pP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The real-world performance of a novel interferon gamma release assay based on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fluorescence immunochromatography in detecting Mycobacterium tuberculosis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infection in South China.</w:t>
      </w:r>
    </w:p>
    <w:p w:rsidR="006137B5" w:rsidRPr="006137B5" w:rsidRDefault="006137B5" w:rsidP="006137B5">
      <w:pPr>
        <w:rPr>
          <w:rFonts w:ascii="宋体" w:eastAsia="宋体" w:hAnsi="宋体" w:cs="宋体"/>
          <w:szCs w:val="21"/>
        </w:rPr>
      </w:pPr>
    </w:p>
    <w:p w:rsidR="006137B5" w:rsidRPr="006137B5" w:rsidRDefault="006137B5" w:rsidP="006137B5">
      <w:pPr>
        <w:rPr>
          <w:rFonts w:ascii="宋体" w:eastAsia="宋体" w:hAnsi="宋体" w:cs="宋体"/>
          <w:szCs w:val="21"/>
        </w:rPr>
      </w:pPr>
      <w:r w:rsidRPr="006137B5">
        <w:rPr>
          <w:rFonts w:ascii="宋体" w:eastAsia="宋体" w:hAnsi="宋体" w:cs="宋体"/>
          <w:szCs w:val="21"/>
        </w:rPr>
        <w:t>Tian N(1), Li P(2), Ju D(2), Lai S(1), Hu J(2), Tan Y(1), Zhu J(3).</w:t>
      </w:r>
    </w:p>
    <w:p w:rsidR="006137B5" w:rsidRDefault="006137B5" w:rsidP="006137B5">
      <w:pPr>
        <w:rPr>
          <w:rFonts w:ascii="宋体" w:eastAsia="宋体" w:hAnsi="宋体" w:cs="宋体"/>
          <w:szCs w:val="21"/>
        </w:rPr>
      </w:pPr>
    </w:p>
    <w:p w:rsidR="004A1E1E" w:rsidRPr="004A1E1E" w:rsidRDefault="004A1E1E" w:rsidP="006137B5">
      <w:pPr>
        <w:rPr>
          <w:rFonts w:ascii="宋体" w:eastAsia="宋体" w:hAnsi="宋体" w:cs="宋体"/>
          <w:b/>
          <w:color w:val="0070C0"/>
          <w:szCs w:val="21"/>
        </w:rPr>
      </w:pPr>
      <w:r w:rsidRPr="004A1E1E">
        <w:rPr>
          <w:rFonts w:ascii="宋体" w:eastAsia="宋体" w:hAnsi="宋体" w:cs="宋体"/>
          <w:b/>
          <w:color w:val="0070C0"/>
          <w:szCs w:val="21"/>
        </w:rPr>
        <w:t>Nannan Tian, Peng Li, Daichen Ju, Shengtao Lai, Jinxing Hu, Yaoju Tan, Jialou Zhu</w:t>
      </w:r>
      <w:r w:rsidRPr="004A1E1E">
        <w:rPr>
          <w:rFonts w:ascii="宋体" w:eastAsia="宋体" w:hAnsi="宋体" w:cs="宋体" w:hint="eastAsia"/>
          <w:b/>
          <w:color w:val="0070C0"/>
          <w:szCs w:val="21"/>
        </w:rPr>
        <w:t>*</w:t>
      </w:r>
    </w:p>
    <w:p w:rsidR="004A1E1E" w:rsidRPr="004A1E1E" w:rsidRDefault="004A1E1E" w:rsidP="006137B5">
      <w:pPr>
        <w:rPr>
          <w:rFonts w:ascii="宋体" w:eastAsia="宋体" w:hAnsi="宋体" w:cs="宋体"/>
          <w:b/>
          <w:color w:val="0070C0"/>
          <w:szCs w:val="21"/>
        </w:rPr>
      </w:pPr>
      <w:r w:rsidRPr="004A1E1E">
        <w:rPr>
          <w:rFonts w:ascii="宋体" w:eastAsia="宋体" w:hAnsi="宋体" w:cs="宋体" w:hint="eastAsia"/>
          <w:b/>
          <w:color w:val="0070C0"/>
          <w:szCs w:val="21"/>
        </w:rPr>
        <w:t>*</w:t>
      </w:r>
      <w:r w:rsidRPr="004A1E1E">
        <w:rPr>
          <w:rFonts w:ascii="宋体" w:eastAsia="宋体" w:hAnsi="宋体" w:cs="宋体"/>
          <w:b/>
          <w:color w:val="0070C0"/>
          <w:szCs w:val="21"/>
        </w:rPr>
        <w:t>Correspondence: Jialou Zhu, E-mail address: zhujialou@hotmil.com</w:t>
      </w:r>
    </w:p>
    <w:p w:rsidR="004A1E1E" w:rsidRPr="006137B5" w:rsidRDefault="004A1E1E" w:rsidP="006137B5">
      <w:pPr>
        <w:rPr>
          <w:rFonts w:ascii="宋体" w:eastAsia="宋体" w:hAnsi="宋体" w:cs="宋体"/>
          <w:szCs w:val="21"/>
        </w:rPr>
      </w:pPr>
    </w:p>
    <w:p w:rsidR="006137B5" w:rsidRPr="006137B5" w:rsidRDefault="006137B5" w:rsidP="006137B5">
      <w:pPr>
        <w:rPr>
          <w:rFonts w:ascii="宋体" w:eastAsia="宋体" w:hAnsi="宋体" w:cs="宋体"/>
          <w:szCs w:val="21"/>
        </w:rPr>
      </w:pPr>
      <w:r w:rsidRPr="006137B5">
        <w:rPr>
          <w:rFonts w:ascii="宋体" w:eastAsia="宋体" w:hAnsi="宋体" w:cs="宋体"/>
          <w:szCs w:val="21"/>
        </w:rPr>
        <w:t>Author information:</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(1)State Key Laboratory of Respiratory Disease, Guangzhou Key Laboratory of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Tuberculosis Research, Department of Clinical Laboratory, Guangzhou Chest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Hospital Affiliated to Guangdong Pharmaceutical University, Guangzhou 510095,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China.</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(2)State Key Laboratory of Respiratory Disease, Guangzhou Key Laboratory of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Tuberculosis Research, Department of Tuberculosis, Guangzhou Chest Hospital,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Guangzhou Medical University Institute of Tuberculosis, Guangzhou 510095, China.</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(3)State Key Laboratory of Respiratory Disease, Guangzhou Key Laboratory of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Tuberculosis Research, Department of Clinical Laboratory, Guangzhou Chest </w:t>
      </w:r>
    </w:p>
    <w:p w:rsidR="006137B5" w:rsidRPr="006137B5" w:rsidRDefault="006137B5" w:rsidP="006137B5">
      <w:pPr>
        <w:rPr>
          <w:rFonts w:ascii="宋体" w:eastAsia="宋体" w:hAnsi="宋体" w:cs="宋体"/>
          <w:szCs w:val="21"/>
        </w:rPr>
      </w:pPr>
      <w:r w:rsidRPr="006137B5">
        <w:rPr>
          <w:rFonts w:ascii="宋体" w:eastAsia="宋体" w:hAnsi="宋体" w:cs="宋体"/>
          <w:szCs w:val="21"/>
        </w:rPr>
        <w:t xml:space="preserve">Hospital Affiliated to Guangdong Pharmaceutical University, Guangzhou 510095, </w:t>
      </w:r>
    </w:p>
    <w:p w:rsidR="006137B5" w:rsidRPr="006137B5" w:rsidRDefault="006137B5" w:rsidP="006137B5">
      <w:pPr>
        <w:rPr>
          <w:rFonts w:ascii="宋体" w:eastAsia="宋体" w:hAnsi="宋体" w:cs="宋体"/>
          <w:szCs w:val="21"/>
        </w:rPr>
      </w:pPr>
      <w:r w:rsidRPr="006137B5">
        <w:rPr>
          <w:rFonts w:ascii="宋体" w:eastAsia="宋体" w:hAnsi="宋体" w:cs="宋体"/>
          <w:szCs w:val="21"/>
        </w:rPr>
        <w:lastRenderedPageBreak/>
        <w:t>China. Electronic address: zhujialou@hotmil.com.</w:t>
      </w:r>
    </w:p>
    <w:p w:rsidR="006137B5" w:rsidRPr="006137B5" w:rsidRDefault="006137B5" w:rsidP="006137B5">
      <w:pPr>
        <w:rPr>
          <w:rFonts w:ascii="宋体" w:eastAsia="宋体" w:hAnsi="宋体" w:cs="宋体"/>
          <w:szCs w:val="21"/>
        </w:rPr>
      </w:pPr>
    </w:p>
    <w:p w:rsidR="006137B5" w:rsidRPr="006137B5" w:rsidRDefault="006137B5" w:rsidP="006137B5">
      <w:pPr>
        <w:rPr>
          <w:rFonts w:ascii="宋体" w:eastAsia="宋体" w:hAnsi="宋体" w:cs="宋体"/>
          <w:szCs w:val="21"/>
        </w:rPr>
      </w:pPr>
      <w:r w:rsidRPr="006137B5">
        <w:rPr>
          <w:rFonts w:ascii="宋体" w:eastAsia="宋体" w:hAnsi="宋体" w:cs="宋体"/>
          <w:szCs w:val="21"/>
        </w:rPr>
        <w:t>DOI: 10.1016/j.jinf.2025.106605</w:t>
      </w:r>
    </w:p>
    <w:p w:rsidR="006137B5" w:rsidRPr="006137B5" w:rsidRDefault="006137B5" w:rsidP="006137B5">
      <w:pPr>
        <w:rPr>
          <w:rFonts w:ascii="宋体" w:eastAsia="宋体" w:hAnsi="宋体" w:cs="宋体"/>
          <w:szCs w:val="21"/>
        </w:rPr>
      </w:pPr>
      <w:r w:rsidRPr="006137B5">
        <w:rPr>
          <w:rFonts w:ascii="宋体" w:eastAsia="宋体" w:hAnsi="宋体" w:cs="宋体"/>
          <w:szCs w:val="21"/>
        </w:rPr>
        <w:t>PMID: 40886849</w:t>
      </w:r>
    </w:p>
    <w:p w:rsidR="00B94E5F" w:rsidRPr="00673AF7" w:rsidRDefault="00B94E5F" w:rsidP="00EC5A2A">
      <w:pPr>
        <w:rPr>
          <w:rFonts w:ascii="宋体" w:eastAsia="宋体" w:hAnsi="宋体" w:cs="宋体"/>
          <w:szCs w:val="21"/>
        </w:rPr>
      </w:pPr>
    </w:p>
    <w:sectPr w:rsidR="00B94E5F" w:rsidRPr="00673AF7" w:rsidSect="00F92D14">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43D" w:rsidRDefault="00A7643D" w:rsidP="004C39AF">
      <w:r>
        <w:separator/>
      </w:r>
    </w:p>
  </w:endnote>
  <w:endnote w:type="continuationSeparator" w:id="0">
    <w:p w:rsidR="00A7643D" w:rsidRDefault="00A7643D" w:rsidP="004C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43D" w:rsidRDefault="00A7643D" w:rsidP="004C39AF">
      <w:r>
        <w:separator/>
      </w:r>
    </w:p>
  </w:footnote>
  <w:footnote w:type="continuationSeparator" w:id="0">
    <w:p w:rsidR="00A7643D" w:rsidRDefault="00A7643D" w:rsidP="004C3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11840"/>
    <w:multiLevelType w:val="hybridMultilevel"/>
    <w:tmpl w:val="905A39FC"/>
    <w:lvl w:ilvl="0" w:tplc="C9CAD3D0">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EE23364"/>
    <w:multiLevelType w:val="hybridMultilevel"/>
    <w:tmpl w:val="63B0B616"/>
    <w:lvl w:ilvl="0" w:tplc="310639EC">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F376409"/>
    <w:multiLevelType w:val="multilevel"/>
    <w:tmpl w:val="FE86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45BDD"/>
    <w:multiLevelType w:val="multilevel"/>
    <w:tmpl w:val="F804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EB3630"/>
    <w:multiLevelType w:val="multilevel"/>
    <w:tmpl w:val="10A0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5E3772"/>
    <w:multiLevelType w:val="hybridMultilevel"/>
    <w:tmpl w:val="23F6EB3C"/>
    <w:lvl w:ilvl="0" w:tplc="69BA72A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A61168"/>
    <w:multiLevelType w:val="multilevel"/>
    <w:tmpl w:val="D36C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0E110C"/>
    <w:multiLevelType w:val="hybridMultilevel"/>
    <w:tmpl w:val="23E21F6A"/>
    <w:lvl w:ilvl="0" w:tplc="19809D0A">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52C3BEF"/>
    <w:multiLevelType w:val="multilevel"/>
    <w:tmpl w:val="E74C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086C9A"/>
    <w:multiLevelType w:val="multilevel"/>
    <w:tmpl w:val="551C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E90DEA"/>
    <w:multiLevelType w:val="multilevel"/>
    <w:tmpl w:val="F96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36751A"/>
    <w:multiLevelType w:val="hybridMultilevel"/>
    <w:tmpl w:val="FBCEB74A"/>
    <w:lvl w:ilvl="0" w:tplc="E410C494">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17D1667"/>
    <w:multiLevelType w:val="multilevel"/>
    <w:tmpl w:val="3C32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217901"/>
    <w:multiLevelType w:val="multilevel"/>
    <w:tmpl w:val="CC74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5271D6"/>
    <w:multiLevelType w:val="multilevel"/>
    <w:tmpl w:val="D668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787F15"/>
    <w:multiLevelType w:val="multilevel"/>
    <w:tmpl w:val="3D72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12"/>
  </w:num>
  <w:num w:numId="4">
    <w:abstractNumId w:val="13"/>
  </w:num>
  <w:num w:numId="5">
    <w:abstractNumId w:val="0"/>
  </w:num>
  <w:num w:numId="6">
    <w:abstractNumId w:val="2"/>
  </w:num>
  <w:num w:numId="7">
    <w:abstractNumId w:val="8"/>
  </w:num>
  <w:num w:numId="8">
    <w:abstractNumId w:val="14"/>
  </w:num>
  <w:num w:numId="9">
    <w:abstractNumId w:val="4"/>
  </w:num>
  <w:num w:numId="10">
    <w:abstractNumId w:val="9"/>
  </w:num>
  <w:num w:numId="11">
    <w:abstractNumId w:val="3"/>
  </w:num>
  <w:num w:numId="12">
    <w:abstractNumId w:val="10"/>
  </w:num>
  <w:num w:numId="13">
    <w:abstractNumId w:val="5"/>
  </w:num>
  <w:num w:numId="14">
    <w:abstractNumId w:val="6"/>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099"/>
    <w:rsid w:val="00000DB9"/>
    <w:rsid w:val="000014AB"/>
    <w:rsid w:val="00002158"/>
    <w:rsid w:val="0000344F"/>
    <w:rsid w:val="000053D4"/>
    <w:rsid w:val="00005626"/>
    <w:rsid w:val="00005C57"/>
    <w:rsid w:val="00005DF6"/>
    <w:rsid w:val="00006B5E"/>
    <w:rsid w:val="00007617"/>
    <w:rsid w:val="00007812"/>
    <w:rsid w:val="00007A28"/>
    <w:rsid w:val="00011C35"/>
    <w:rsid w:val="00012109"/>
    <w:rsid w:val="0001360E"/>
    <w:rsid w:val="0001363A"/>
    <w:rsid w:val="00013BEE"/>
    <w:rsid w:val="00014403"/>
    <w:rsid w:val="00015A87"/>
    <w:rsid w:val="00016B45"/>
    <w:rsid w:val="00016B5F"/>
    <w:rsid w:val="0001736B"/>
    <w:rsid w:val="0001780F"/>
    <w:rsid w:val="00017F5F"/>
    <w:rsid w:val="000212B5"/>
    <w:rsid w:val="00021B2B"/>
    <w:rsid w:val="00022216"/>
    <w:rsid w:val="00022C1A"/>
    <w:rsid w:val="00024C92"/>
    <w:rsid w:val="0002517A"/>
    <w:rsid w:val="0002556C"/>
    <w:rsid w:val="00026721"/>
    <w:rsid w:val="00026903"/>
    <w:rsid w:val="00026B44"/>
    <w:rsid w:val="00031017"/>
    <w:rsid w:val="00032443"/>
    <w:rsid w:val="0003251D"/>
    <w:rsid w:val="000336F2"/>
    <w:rsid w:val="000341A3"/>
    <w:rsid w:val="000349DB"/>
    <w:rsid w:val="00034C47"/>
    <w:rsid w:val="000369F1"/>
    <w:rsid w:val="000377E0"/>
    <w:rsid w:val="00040D2C"/>
    <w:rsid w:val="000411E9"/>
    <w:rsid w:val="00041F05"/>
    <w:rsid w:val="00042257"/>
    <w:rsid w:val="00042646"/>
    <w:rsid w:val="000426FD"/>
    <w:rsid w:val="00042BCC"/>
    <w:rsid w:val="000430FF"/>
    <w:rsid w:val="000439C5"/>
    <w:rsid w:val="00043EC1"/>
    <w:rsid w:val="00043FA6"/>
    <w:rsid w:val="0004433C"/>
    <w:rsid w:val="0004482E"/>
    <w:rsid w:val="00044BF9"/>
    <w:rsid w:val="00044C1D"/>
    <w:rsid w:val="000467F6"/>
    <w:rsid w:val="00046D3D"/>
    <w:rsid w:val="0004738B"/>
    <w:rsid w:val="0004796A"/>
    <w:rsid w:val="00047D8A"/>
    <w:rsid w:val="00050F4A"/>
    <w:rsid w:val="000512A8"/>
    <w:rsid w:val="000518ED"/>
    <w:rsid w:val="00052F5C"/>
    <w:rsid w:val="00053092"/>
    <w:rsid w:val="00054174"/>
    <w:rsid w:val="000542D4"/>
    <w:rsid w:val="000557AE"/>
    <w:rsid w:val="00055DAE"/>
    <w:rsid w:val="00055E67"/>
    <w:rsid w:val="0005622B"/>
    <w:rsid w:val="00056868"/>
    <w:rsid w:val="00056925"/>
    <w:rsid w:val="00056A0E"/>
    <w:rsid w:val="000570CD"/>
    <w:rsid w:val="00057CFD"/>
    <w:rsid w:val="00061893"/>
    <w:rsid w:val="00061C4A"/>
    <w:rsid w:val="00062457"/>
    <w:rsid w:val="0006337A"/>
    <w:rsid w:val="000637F3"/>
    <w:rsid w:val="00063930"/>
    <w:rsid w:val="00063E49"/>
    <w:rsid w:val="000650D3"/>
    <w:rsid w:val="00065A57"/>
    <w:rsid w:val="00065B56"/>
    <w:rsid w:val="000660CB"/>
    <w:rsid w:val="000672B8"/>
    <w:rsid w:val="00070260"/>
    <w:rsid w:val="0007069D"/>
    <w:rsid w:val="00070FE6"/>
    <w:rsid w:val="00071D85"/>
    <w:rsid w:val="00073164"/>
    <w:rsid w:val="00075067"/>
    <w:rsid w:val="000750A2"/>
    <w:rsid w:val="00075D82"/>
    <w:rsid w:val="00075F42"/>
    <w:rsid w:val="0007684E"/>
    <w:rsid w:val="00076855"/>
    <w:rsid w:val="00076884"/>
    <w:rsid w:val="00076E62"/>
    <w:rsid w:val="00076F4D"/>
    <w:rsid w:val="0007729A"/>
    <w:rsid w:val="0008093D"/>
    <w:rsid w:val="00080EB3"/>
    <w:rsid w:val="00081087"/>
    <w:rsid w:val="000811D4"/>
    <w:rsid w:val="000815C7"/>
    <w:rsid w:val="00082408"/>
    <w:rsid w:val="00082B2E"/>
    <w:rsid w:val="00082B6A"/>
    <w:rsid w:val="00082EB9"/>
    <w:rsid w:val="00083766"/>
    <w:rsid w:val="00083B28"/>
    <w:rsid w:val="00083C1E"/>
    <w:rsid w:val="00083CDE"/>
    <w:rsid w:val="00083F4F"/>
    <w:rsid w:val="00084611"/>
    <w:rsid w:val="00085CBB"/>
    <w:rsid w:val="00086220"/>
    <w:rsid w:val="000866EC"/>
    <w:rsid w:val="000871EA"/>
    <w:rsid w:val="000878F0"/>
    <w:rsid w:val="000879A2"/>
    <w:rsid w:val="000900A1"/>
    <w:rsid w:val="00092343"/>
    <w:rsid w:val="00092419"/>
    <w:rsid w:val="00092C39"/>
    <w:rsid w:val="00092C59"/>
    <w:rsid w:val="00092F3A"/>
    <w:rsid w:val="00093655"/>
    <w:rsid w:val="00093A63"/>
    <w:rsid w:val="00094FDF"/>
    <w:rsid w:val="00096770"/>
    <w:rsid w:val="00097075"/>
    <w:rsid w:val="000979C8"/>
    <w:rsid w:val="00097C56"/>
    <w:rsid w:val="000A0C4E"/>
    <w:rsid w:val="000A12C3"/>
    <w:rsid w:val="000A1FB5"/>
    <w:rsid w:val="000A37B4"/>
    <w:rsid w:val="000A3C36"/>
    <w:rsid w:val="000A3E01"/>
    <w:rsid w:val="000A4B87"/>
    <w:rsid w:val="000A4CEA"/>
    <w:rsid w:val="000A5E88"/>
    <w:rsid w:val="000A6D28"/>
    <w:rsid w:val="000A73A3"/>
    <w:rsid w:val="000B15A4"/>
    <w:rsid w:val="000B1B8A"/>
    <w:rsid w:val="000B2066"/>
    <w:rsid w:val="000B207D"/>
    <w:rsid w:val="000B2A58"/>
    <w:rsid w:val="000B37C0"/>
    <w:rsid w:val="000B4814"/>
    <w:rsid w:val="000B53D7"/>
    <w:rsid w:val="000B644B"/>
    <w:rsid w:val="000B64CA"/>
    <w:rsid w:val="000B7415"/>
    <w:rsid w:val="000B74EB"/>
    <w:rsid w:val="000B7C3B"/>
    <w:rsid w:val="000C07C5"/>
    <w:rsid w:val="000C09F8"/>
    <w:rsid w:val="000C0A24"/>
    <w:rsid w:val="000C0F9A"/>
    <w:rsid w:val="000C1141"/>
    <w:rsid w:val="000C19E6"/>
    <w:rsid w:val="000C2025"/>
    <w:rsid w:val="000C31CF"/>
    <w:rsid w:val="000C3599"/>
    <w:rsid w:val="000C3C2C"/>
    <w:rsid w:val="000C4172"/>
    <w:rsid w:val="000C4425"/>
    <w:rsid w:val="000C48BE"/>
    <w:rsid w:val="000C4AA0"/>
    <w:rsid w:val="000C54B5"/>
    <w:rsid w:val="000C5BD0"/>
    <w:rsid w:val="000C5D65"/>
    <w:rsid w:val="000C6757"/>
    <w:rsid w:val="000C6BE6"/>
    <w:rsid w:val="000D04AB"/>
    <w:rsid w:val="000D111E"/>
    <w:rsid w:val="000D1748"/>
    <w:rsid w:val="000D2140"/>
    <w:rsid w:val="000D229A"/>
    <w:rsid w:val="000D2954"/>
    <w:rsid w:val="000D29AC"/>
    <w:rsid w:val="000D29FE"/>
    <w:rsid w:val="000D2A7B"/>
    <w:rsid w:val="000D2D26"/>
    <w:rsid w:val="000D2E2E"/>
    <w:rsid w:val="000D3106"/>
    <w:rsid w:val="000D3334"/>
    <w:rsid w:val="000D38BB"/>
    <w:rsid w:val="000D48F9"/>
    <w:rsid w:val="000D4DA6"/>
    <w:rsid w:val="000D6767"/>
    <w:rsid w:val="000D6B28"/>
    <w:rsid w:val="000D7225"/>
    <w:rsid w:val="000E0BA3"/>
    <w:rsid w:val="000E0FAD"/>
    <w:rsid w:val="000E160C"/>
    <w:rsid w:val="000E1ED0"/>
    <w:rsid w:val="000E2070"/>
    <w:rsid w:val="000E321F"/>
    <w:rsid w:val="000E350F"/>
    <w:rsid w:val="000E3685"/>
    <w:rsid w:val="000E3861"/>
    <w:rsid w:val="000E3922"/>
    <w:rsid w:val="000E3E6F"/>
    <w:rsid w:val="000E3FAA"/>
    <w:rsid w:val="000E515E"/>
    <w:rsid w:val="000E5936"/>
    <w:rsid w:val="000E6910"/>
    <w:rsid w:val="000E7095"/>
    <w:rsid w:val="000E7324"/>
    <w:rsid w:val="000E782C"/>
    <w:rsid w:val="000F031F"/>
    <w:rsid w:val="000F091F"/>
    <w:rsid w:val="000F1325"/>
    <w:rsid w:val="000F1799"/>
    <w:rsid w:val="000F1C71"/>
    <w:rsid w:val="000F2CAB"/>
    <w:rsid w:val="000F31C8"/>
    <w:rsid w:val="000F38A7"/>
    <w:rsid w:val="000F4278"/>
    <w:rsid w:val="000F5325"/>
    <w:rsid w:val="000F5E34"/>
    <w:rsid w:val="000F64D5"/>
    <w:rsid w:val="000F69E7"/>
    <w:rsid w:val="000F6C96"/>
    <w:rsid w:val="000F6F22"/>
    <w:rsid w:val="000F6FA9"/>
    <w:rsid w:val="001011E5"/>
    <w:rsid w:val="00101917"/>
    <w:rsid w:val="00101965"/>
    <w:rsid w:val="00102C3A"/>
    <w:rsid w:val="00102CB5"/>
    <w:rsid w:val="00102F6D"/>
    <w:rsid w:val="00104454"/>
    <w:rsid w:val="0010615D"/>
    <w:rsid w:val="0010782E"/>
    <w:rsid w:val="00111661"/>
    <w:rsid w:val="00112598"/>
    <w:rsid w:val="00112A56"/>
    <w:rsid w:val="00112F4B"/>
    <w:rsid w:val="0011324E"/>
    <w:rsid w:val="00113349"/>
    <w:rsid w:val="001136AC"/>
    <w:rsid w:val="00113BD6"/>
    <w:rsid w:val="00114747"/>
    <w:rsid w:val="00115471"/>
    <w:rsid w:val="00115817"/>
    <w:rsid w:val="00116CC5"/>
    <w:rsid w:val="001170F6"/>
    <w:rsid w:val="00117346"/>
    <w:rsid w:val="001174DF"/>
    <w:rsid w:val="00117773"/>
    <w:rsid w:val="001177F1"/>
    <w:rsid w:val="00117E84"/>
    <w:rsid w:val="00120949"/>
    <w:rsid w:val="001209C1"/>
    <w:rsid w:val="00120A34"/>
    <w:rsid w:val="00120ED7"/>
    <w:rsid w:val="00122327"/>
    <w:rsid w:val="00123068"/>
    <w:rsid w:val="0012347D"/>
    <w:rsid w:val="00124801"/>
    <w:rsid w:val="0012481A"/>
    <w:rsid w:val="00125C53"/>
    <w:rsid w:val="001266D9"/>
    <w:rsid w:val="0012692E"/>
    <w:rsid w:val="0012702F"/>
    <w:rsid w:val="00127511"/>
    <w:rsid w:val="00127B6E"/>
    <w:rsid w:val="00127CF5"/>
    <w:rsid w:val="00130E3F"/>
    <w:rsid w:val="00131585"/>
    <w:rsid w:val="00132F43"/>
    <w:rsid w:val="001336F7"/>
    <w:rsid w:val="00133A73"/>
    <w:rsid w:val="00133ACC"/>
    <w:rsid w:val="001346A8"/>
    <w:rsid w:val="00134A12"/>
    <w:rsid w:val="00134DEE"/>
    <w:rsid w:val="00135067"/>
    <w:rsid w:val="0013594B"/>
    <w:rsid w:val="001362DC"/>
    <w:rsid w:val="00136B8B"/>
    <w:rsid w:val="00136FAC"/>
    <w:rsid w:val="001370CD"/>
    <w:rsid w:val="001405D6"/>
    <w:rsid w:val="0014119D"/>
    <w:rsid w:val="001412B3"/>
    <w:rsid w:val="001415DE"/>
    <w:rsid w:val="00141786"/>
    <w:rsid w:val="00141CE3"/>
    <w:rsid w:val="0014494D"/>
    <w:rsid w:val="00145B48"/>
    <w:rsid w:val="001502F0"/>
    <w:rsid w:val="00150583"/>
    <w:rsid w:val="00150794"/>
    <w:rsid w:val="0015126B"/>
    <w:rsid w:val="00151E7D"/>
    <w:rsid w:val="00152B66"/>
    <w:rsid w:val="0015367E"/>
    <w:rsid w:val="00153B0D"/>
    <w:rsid w:val="001559A6"/>
    <w:rsid w:val="00156286"/>
    <w:rsid w:val="001565EA"/>
    <w:rsid w:val="00157628"/>
    <w:rsid w:val="001609A6"/>
    <w:rsid w:val="00161378"/>
    <w:rsid w:val="001615D7"/>
    <w:rsid w:val="00161BF1"/>
    <w:rsid w:val="00161F92"/>
    <w:rsid w:val="00162F9A"/>
    <w:rsid w:val="00163152"/>
    <w:rsid w:val="00165A37"/>
    <w:rsid w:val="00166250"/>
    <w:rsid w:val="00166477"/>
    <w:rsid w:val="0016753E"/>
    <w:rsid w:val="0016764C"/>
    <w:rsid w:val="00167748"/>
    <w:rsid w:val="00170319"/>
    <w:rsid w:val="0017116D"/>
    <w:rsid w:val="00171541"/>
    <w:rsid w:val="00172F22"/>
    <w:rsid w:val="00173B35"/>
    <w:rsid w:val="00174065"/>
    <w:rsid w:val="001743F5"/>
    <w:rsid w:val="00175ACE"/>
    <w:rsid w:val="00175B5A"/>
    <w:rsid w:val="00175C0E"/>
    <w:rsid w:val="00175D6E"/>
    <w:rsid w:val="0017715C"/>
    <w:rsid w:val="00177548"/>
    <w:rsid w:val="0018099B"/>
    <w:rsid w:val="0018108C"/>
    <w:rsid w:val="001812F4"/>
    <w:rsid w:val="0018181D"/>
    <w:rsid w:val="001830BE"/>
    <w:rsid w:val="00183788"/>
    <w:rsid w:val="001837F3"/>
    <w:rsid w:val="0018564F"/>
    <w:rsid w:val="0018682D"/>
    <w:rsid w:val="00186BCA"/>
    <w:rsid w:val="00187878"/>
    <w:rsid w:val="00187A92"/>
    <w:rsid w:val="00187DA7"/>
    <w:rsid w:val="00190484"/>
    <w:rsid w:val="0019192C"/>
    <w:rsid w:val="00191A50"/>
    <w:rsid w:val="001929C1"/>
    <w:rsid w:val="00192D5E"/>
    <w:rsid w:val="001930F1"/>
    <w:rsid w:val="00193AD7"/>
    <w:rsid w:val="00193ADE"/>
    <w:rsid w:val="00194114"/>
    <w:rsid w:val="00194994"/>
    <w:rsid w:val="00195007"/>
    <w:rsid w:val="00195670"/>
    <w:rsid w:val="0019652D"/>
    <w:rsid w:val="00196C1E"/>
    <w:rsid w:val="0019757F"/>
    <w:rsid w:val="001A040E"/>
    <w:rsid w:val="001A06AF"/>
    <w:rsid w:val="001A127F"/>
    <w:rsid w:val="001A1B60"/>
    <w:rsid w:val="001A1F66"/>
    <w:rsid w:val="001A220A"/>
    <w:rsid w:val="001A3082"/>
    <w:rsid w:val="001A30F9"/>
    <w:rsid w:val="001A3C89"/>
    <w:rsid w:val="001A3ED6"/>
    <w:rsid w:val="001A4B38"/>
    <w:rsid w:val="001A7525"/>
    <w:rsid w:val="001A75BC"/>
    <w:rsid w:val="001A75E8"/>
    <w:rsid w:val="001A77F9"/>
    <w:rsid w:val="001A7832"/>
    <w:rsid w:val="001A79CD"/>
    <w:rsid w:val="001B14E7"/>
    <w:rsid w:val="001B1623"/>
    <w:rsid w:val="001B183C"/>
    <w:rsid w:val="001B1D7B"/>
    <w:rsid w:val="001B2009"/>
    <w:rsid w:val="001B2688"/>
    <w:rsid w:val="001B26E2"/>
    <w:rsid w:val="001B2961"/>
    <w:rsid w:val="001B2D3B"/>
    <w:rsid w:val="001B2EE4"/>
    <w:rsid w:val="001B382E"/>
    <w:rsid w:val="001B468D"/>
    <w:rsid w:val="001B4C3C"/>
    <w:rsid w:val="001B4DC6"/>
    <w:rsid w:val="001B578C"/>
    <w:rsid w:val="001B59BF"/>
    <w:rsid w:val="001B5DFD"/>
    <w:rsid w:val="001B6637"/>
    <w:rsid w:val="001B6AA0"/>
    <w:rsid w:val="001B6B80"/>
    <w:rsid w:val="001C0858"/>
    <w:rsid w:val="001C0BA3"/>
    <w:rsid w:val="001C0DC6"/>
    <w:rsid w:val="001C1546"/>
    <w:rsid w:val="001C1578"/>
    <w:rsid w:val="001C1881"/>
    <w:rsid w:val="001C20B6"/>
    <w:rsid w:val="001C2F64"/>
    <w:rsid w:val="001C3115"/>
    <w:rsid w:val="001C3C4B"/>
    <w:rsid w:val="001C3EF8"/>
    <w:rsid w:val="001C524A"/>
    <w:rsid w:val="001C5712"/>
    <w:rsid w:val="001C57FB"/>
    <w:rsid w:val="001C58F8"/>
    <w:rsid w:val="001C59F0"/>
    <w:rsid w:val="001C62D4"/>
    <w:rsid w:val="001C694D"/>
    <w:rsid w:val="001C69AE"/>
    <w:rsid w:val="001C6E99"/>
    <w:rsid w:val="001D0B07"/>
    <w:rsid w:val="001D1737"/>
    <w:rsid w:val="001D1D47"/>
    <w:rsid w:val="001D2534"/>
    <w:rsid w:val="001D2C2F"/>
    <w:rsid w:val="001D52DD"/>
    <w:rsid w:val="001D5A05"/>
    <w:rsid w:val="001D5FC7"/>
    <w:rsid w:val="001D6262"/>
    <w:rsid w:val="001D74AD"/>
    <w:rsid w:val="001D76AC"/>
    <w:rsid w:val="001D7F12"/>
    <w:rsid w:val="001E02EA"/>
    <w:rsid w:val="001E14F6"/>
    <w:rsid w:val="001E16A8"/>
    <w:rsid w:val="001E179C"/>
    <w:rsid w:val="001E2637"/>
    <w:rsid w:val="001E2B6C"/>
    <w:rsid w:val="001E2D41"/>
    <w:rsid w:val="001E4C91"/>
    <w:rsid w:val="001E5B2C"/>
    <w:rsid w:val="001E6528"/>
    <w:rsid w:val="001E697E"/>
    <w:rsid w:val="001E7838"/>
    <w:rsid w:val="001E7B37"/>
    <w:rsid w:val="001E7CB2"/>
    <w:rsid w:val="001E7CD8"/>
    <w:rsid w:val="001F098B"/>
    <w:rsid w:val="001F0E0C"/>
    <w:rsid w:val="001F1791"/>
    <w:rsid w:val="001F182F"/>
    <w:rsid w:val="001F20FA"/>
    <w:rsid w:val="001F2E8E"/>
    <w:rsid w:val="001F3DB3"/>
    <w:rsid w:val="001F4101"/>
    <w:rsid w:val="001F4C90"/>
    <w:rsid w:val="001F55C0"/>
    <w:rsid w:val="001F5BE0"/>
    <w:rsid w:val="001F6243"/>
    <w:rsid w:val="001F6401"/>
    <w:rsid w:val="001F6444"/>
    <w:rsid w:val="001F6920"/>
    <w:rsid w:val="001F7747"/>
    <w:rsid w:val="00200448"/>
    <w:rsid w:val="00200BFB"/>
    <w:rsid w:val="00201467"/>
    <w:rsid w:val="0020169B"/>
    <w:rsid w:val="00202162"/>
    <w:rsid w:val="0020283E"/>
    <w:rsid w:val="00203136"/>
    <w:rsid w:val="00203B67"/>
    <w:rsid w:val="00203FDE"/>
    <w:rsid w:val="00204F38"/>
    <w:rsid w:val="0020515F"/>
    <w:rsid w:val="0020559A"/>
    <w:rsid w:val="00206265"/>
    <w:rsid w:val="00207513"/>
    <w:rsid w:val="00207993"/>
    <w:rsid w:val="0021097D"/>
    <w:rsid w:val="0021160B"/>
    <w:rsid w:val="0021256D"/>
    <w:rsid w:val="00212D63"/>
    <w:rsid w:val="0021356B"/>
    <w:rsid w:val="00213DC4"/>
    <w:rsid w:val="00213E9D"/>
    <w:rsid w:val="00214099"/>
    <w:rsid w:val="0021415D"/>
    <w:rsid w:val="002143BF"/>
    <w:rsid w:val="00215036"/>
    <w:rsid w:val="00215D68"/>
    <w:rsid w:val="00215E87"/>
    <w:rsid w:val="00216865"/>
    <w:rsid w:val="00216B2D"/>
    <w:rsid w:val="00216B69"/>
    <w:rsid w:val="00216FE3"/>
    <w:rsid w:val="0021718E"/>
    <w:rsid w:val="002172B8"/>
    <w:rsid w:val="0022112B"/>
    <w:rsid w:val="0022177F"/>
    <w:rsid w:val="00222BF8"/>
    <w:rsid w:val="00222C1F"/>
    <w:rsid w:val="002237B6"/>
    <w:rsid w:val="00223EC7"/>
    <w:rsid w:val="00223F13"/>
    <w:rsid w:val="002246F4"/>
    <w:rsid w:val="002250FB"/>
    <w:rsid w:val="0022537C"/>
    <w:rsid w:val="0022635E"/>
    <w:rsid w:val="00226417"/>
    <w:rsid w:val="002269CE"/>
    <w:rsid w:val="00226A07"/>
    <w:rsid w:val="0023030B"/>
    <w:rsid w:val="0023054B"/>
    <w:rsid w:val="002307BF"/>
    <w:rsid w:val="00231B75"/>
    <w:rsid w:val="00232D98"/>
    <w:rsid w:val="0023387B"/>
    <w:rsid w:val="00233B2D"/>
    <w:rsid w:val="00234A90"/>
    <w:rsid w:val="00234AC9"/>
    <w:rsid w:val="00235153"/>
    <w:rsid w:val="00236497"/>
    <w:rsid w:val="002366B9"/>
    <w:rsid w:val="002368A3"/>
    <w:rsid w:val="0023793E"/>
    <w:rsid w:val="0024004F"/>
    <w:rsid w:val="0024079D"/>
    <w:rsid w:val="00240F93"/>
    <w:rsid w:val="0024111C"/>
    <w:rsid w:val="0024123B"/>
    <w:rsid w:val="002414C7"/>
    <w:rsid w:val="002426DE"/>
    <w:rsid w:val="002434F4"/>
    <w:rsid w:val="00244832"/>
    <w:rsid w:val="002449AD"/>
    <w:rsid w:val="002465F0"/>
    <w:rsid w:val="00246901"/>
    <w:rsid w:val="0024704A"/>
    <w:rsid w:val="00247E12"/>
    <w:rsid w:val="00250A8B"/>
    <w:rsid w:val="00251271"/>
    <w:rsid w:val="00251922"/>
    <w:rsid w:val="00252068"/>
    <w:rsid w:val="00252307"/>
    <w:rsid w:val="0025415A"/>
    <w:rsid w:val="00254919"/>
    <w:rsid w:val="00254E56"/>
    <w:rsid w:val="00254F1F"/>
    <w:rsid w:val="00255583"/>
    <w:rsid w:val="002557EB"/>
    <w:rsid w:val="0025671A"/>
    <w:rsid w:val="00256A02"/>
    <w:rsid w:val="00256D18"/>
    <w:rsid w:val="0025701C"/>
    <w:rsid w:val="002573CF"/>
    <w:rsid w:val="00257A79"/>
    <w:rsid w:val="0026071D"/>
    <w:rsid w:val="00260828"/>
    <w:rsid w:val="002609CD"/>
    <w:rsid w:val="0026193B"/>
    <w:rsid w:val="00261A00"/>
    <w:rsid w:val="0026216B"/>
    <w:rsid w:val="002622F1"/>
    <w:rsid w:val="002629E1"/>
    <w:rsid w:val="00262EA3"/>
    <w:rsid w:val="002640D3"/>
    <w:rsid w:val="00264730"/>
    <w:rsid w:val="00264E66"/>
    <w:rsid w:val="002658B8"/>
    <w:rsid w:val="00265E5B"/>
    <w:rsid w:val="0026605C"/>
    <w:rsid w:val="002667F6"/>
    <w:rsid w:val="00266D93"/>
    <w:rsid w:val="0026754E"/>
    <w:rsid w:val="00270098"/>
    <w:rsid w:val="00270835"/>
    <w:rsid w:val="002708B4"/>
    <w:rsid w:val="002734FB"/>
    <w:rsid w:val="00273BB6"/>
    <w:rsid w:val="00275609"/>
    <w:rsid w:val="00275C21"/>
    <w:rsid w:val="00277640"/>
    <w:rsid w:val="0028258F"/>
    <w:rsid w:val="002839D1"/>
    <w:rsid w:val="00284ADA"/>
    <w:rsid w:val="002850C9"/>
    <w:rsid w:val="00285233"/>
    <w:rsid w:val="00285261"/>
    <w:rsid w:val="002856EB"/>
    <w:rsid w:val="00285E2D"/>
    <w:rsid w:val="00286A3C"/>
    <w:rsid w:val="00286C77"/>
    <w:rsid w:val="00287DB6"/>
    <w:rsid w:val="00290166"/>
    <w:rsid w:val="00291877"/>
    <w:rsid w:val="00291F64"/>
    <w:rsid w:val="00292D3A"/>
    <w:rsid w:val="00294399"/>
    <w:rsid w:val="00294A7A"/>
    <w:rsid w:val="00294FFF"/>
    <w:rsid w:val="0029557A"/>
    <w:rsid w:val="002968AF"/>
    <w:rsid w:val="002A0CFE"/>
    <w:rsid w:val="002A1B89"/>
    <w:rsid w:val="002A22D6"/>
    <w:rsid w:val="002A2B49"/>
    <w:rsid w:val="002A3C2A"/>
    <w:rsid w:val="002A3C75"/>
    <w:rsid w:val="002A4094"/>
    <w:rsid w:val="002A48D6"/>
    <w:rsid w:val="002A52D6"/>
    <w:rsid w:val="002A5755"/>
    <w:rsid w:val="002A5EB6"/>
    <w:rsid w:val="002A65C4"/>
    <w:rsid w:val="002A6BE3"/>
    <w:rsid w:val="002A71C7"/>
    <w:rsid w:val="002A76E3"/>
    <w:rsid w:val="002A7785"/>
    <w:rsid w:val="002A779F"/>
    <w:rsid w:val="002B0853"/>
    <w:rsid w:val="002B0E05"/>
    <w:rsid w:val="002B1915"/>
    <w:rsid w:val="002B2853"/>
    <w:rsid w:val="002B2AF0"/>
    <w:rsid w:val="002B2F94"/>
    <w:rsid w:val="002B39FD"/>
    <w:rsid w:val="002B3B3E"/>
    <w:rsid w:val="002B3C03"/>
    <w:rsid w:val="002B3E8B"/>
    <w:rsid w:val="002B4A2B"/>
    <w:rsid w:val="002B6176"/>
    <w:rsid w:val="002B6D55"/>
    <w:rsid w:val="002B6E03"/>
    <w:rsid w:val="002B7C6A"/>
    <w:rsid w:val="002B7C9B"/>
    <w:rsid w:val="002C0C00"/>
    <w:rsid w:val="002C0D87"/>
    <w:rsid w:val="002C1EE8"/>
    <w:rsid w:val="002C2D59"/>
    <w:rsid w:val="002C4737"/>
    <w:rsid w:val="002C4820"/>
    <w:rsid w:val="002C56DB"/>
    <w:rsid w:val="002C5B8B"/>
    <w:rsid w:val="002C5C4A"/>
    <w:rsid w:val="002C6CB6"/>
    <w:rsid w:val="002C6DF3"/>
    <w:rsid w:val="002C756E"/>
    <w:rsid w:val="002D0691"/>
    <w:rsid w:val="002D1E5D"/>
    <w:rsid w:val="002D1F45"/>
    <w:rsid w:val="002D227E"/>
    <w:rsid w:val="002D2B2D"/>
    <w:rsid w:val="002D2C9F"/>
    <w:rsid w:val="002D2D13"/>
    <w:rsid w:val="002D486C"/>
    <w:rsid w:val="002D4B0D"/>
    <w:rsid w:val="002D56E1"/>
    <w:rsid w:val="002D7004"/>
    <w:rsid w:val="002E07C7"/>
    <w:rsid w:val="002E1B94"/>
    <w:rsid w:val="002E2195"/>
    <w:rsid w:val="002E3D81"/>
    <w:rsid w:val="002E5FCF"/>
    <w:rsid w:val="002E6B73"/>
    <w:rsid w:val="002E731D"/>
    <w:rsid w:val="002E7ACD"/>
    <w:rsid w:val="002E7E95"/>
    <w:rsid w:val="002F0230"/>
    <w:rsid w:val="002F0D59"/>
    <w:rsid w:val="002F0DE0"/>
    <w:rsid w:val="002F1B7B"/>
    <w:rsid w:val="002F25BC"/>
    <w:rsid w:val="002F2E7B"/>
    <w:rsid w:val="002F3C7F"/>
    <w:rsid w:val="002F3DAB"/>
    <w:rsid w:val="002F4946"/>
    <w:rsid w:val="002F4B1A"/>
    <w:rsid w:val="002F5B09"/>
    <w:rsid w:val="002F61DE"/>
    <w:rsid w:val="002F6822"/>
    <w:rsid w:val="002F6B74"/>
    <w:rsid w:val="002F6EBD"/>
    <w:rsid w:val="002F7159"/>
    <w:rsid w:val="002F7C4D"/>
    <w:rsid w:val="002F7F3B"/>
    <w:rsid w:val="002F7FC3"/>
    <w:rsid w:val="00300459"/>
    <w:rsid w:val="003004F8"/>
    <w:rsid w:val="00300880"/>
    <w:rsid w:val="00300933"/>
    <w:rsid w:val="00300B25"/>
    <w:rsid w:val="00301AFE"/>
    <w:rsid w:val="00301C1E"/>
    <w:rsid w:val="00302429"/>
    <w:rsid w:val="003036B5"/>
    <w:rsid w:val="00303833"/>
    <w:rsid w:val="00303AD4"/>
    <w:rsid w:val="003047CA"/>
    <w:rsid w:val="003047D4"/>
    <w:rsid w:val="00304D6E"/>
    <w:rsid w:val="003059EA"/>
    <w:rsid w:val="00305BF3"/>
    <w:rsid w:val="003076BD"/>
    <w:rsid w:val="0030788B"/>
    <w:rsid w:val="00307B4D"/>
    <w:rsid w:val="003112ED"/>
    <w:rsid w:val="003115CE"/>
    <w:rsid w:val="00311A4A"/>
    <w:rsid w:val="00311AE8"/>
    <w:rsid w:val="00311EB9"/>
    <w:rsid w:val="00312830"/>
    <w:rsid w:val="00313453"/>
    <w:rsid w:val="00314BD8"/>
    <w:rsid w:val="00314DA8"/>
    <w:rsid w:val="00315619"/>
    <w:rsid w:val="00316469"/>
    <w:rsid w:val="00316661"/>
    <w:rsid w:val="003168D6"/>
    <w:rsid w:val="0031733D"/>
    <w:rsid w:val="00317F7F"/>
    <w:rsid w:val="00321B3B"/>
    <w:rsid w:val="00321BA1"/>
    <w:rsid w:val="00322183"/>
    <w:rsid w:val="00322C7B"/>
    <w:rsid w:val="003236C4"/>
    <w:rsid w:val="00324282"/>
    <w:rsid w:val="00324324"/>
    <w:rsid w:val="00325B57"/>
    <w:rsid w:val="00325FC1"/>
    <w:rsid w:val="003264B8"/>
    <w:rsid w:val="003264DA"/>
    <w:rsid w:val="00326B51"/>
    <w:rsid w:val="00326C40"/>
    <w:rsid w:val="00327286"/>
    <w:rsid w:val="00327769"/>
    <w:rsid w:val="00330F68"/>
    <w:rsid w:val="003312A7"/>
    <w:rsid w:val="00331C94"/>
    <w:rsid w:val="00331CA9"/>
    <w:rsid w:val="0033244E"/>
    <w:rsid w:val="00332ED6"/>
    <w:rsid w:val="003337B2"/>
    <w:rsid w:val="00333C97"/>
    <w:rsid w:val="0033488D"/>
    <w:rsid w:val="00335356"/>
    <w:rsid w:val="00336B6F"/>
    <w:rsid w:val="00336E81"/>
    <w:rsid w:val="00340239"/>
    <w:rsid w:val="0034073E"/>
    <w:rsid w:val="00340832"/>
    <w:rsid w:val="00341464"/>
    <w:rsid w:val="003431E8"/>
    <w:rsid w:val="003432F0"/>
    <w:rsid w:val="003434A1"/>
    <w:rsid w:val="0034470F"/>
    <w:rsid w:val="00346C3C"/>
    <w:rsid w:val="0034753F"/>
    <w:rsid w:val="00347C38"/>
    <w:rsid w:val="00347F11"/>
    <w:rsid w:val="00350006"/>
    <w:rsid w:val="00350BAF"/>
    <w:rsid w:val="0035124C"/>
    <w:rsid w:val="0035196D"/>
    <w:rsid w:val="00351EE7"/>
    <w:rsid w:val="00353FA5"/>
    <w:rsid w:val="00354BF4"/>
    <w:rsid w:val="00354D01"/>
    <w:rsid w:val="00354D93"/>
    <w:rsid w:val="0035505B"/>
    <w:rsid w:val="003554CD"/>
    <w:rsid w:val="0035606C"/>
    <w:rsid w:val="00356D07"/>
    <w:rsid w:val="0035704B"/>
    <w:rsid w:val="003578D4"/>
    <w:rsid w:val="00361061"/>
    <w:rsid w:val="0036188C"/>
    <w:rsid w:val="00361AC8"/>
    <w:rsid w:val="00361F88"/>
    <w:rsid w:val="00363137"/>
    <w:rsid w:val="003634E2"/>
    <w:rsid w:val="0036354F"/>
    <w:rsid w:val="00364147"/>
    <w:rsid w:val="003658FE"/>
    <w:rsid w:val="00365C42"/>
    <w:rsid w:val="003666D3"/>
    <w:rsid w:val="00366949"/>
    <w:rsid w:val="00366985"/>
    <w:rsid w:val="0036725E"/>
    <w:rsid w:val="00367A20"/>
    <w:rsid w:val="00367FED"/>
    <w:rsid w:val="003715AF"/>
    <w:rsid w:val="00373035"/>
    <w:rsid w:val="00373E6F"/>
    <w:rsid w:val="00373F21"/>
    <w:rsid w:val="003742AF"/>
    <w:rsid w:val="00374410"/>
    <w:rsid w:val="003746C3"/>
    <w:rsid w:val="00374F06"/>
    <w:rsid w:val="00376182"/>
    <w:rsid w:val="003761D4"/>
    <w:rsid w:val="00376FAF"/>
    <w:rsid w:val="00377921"/>
    <w:rsid w:val="00380554"/>
    <w:rsid w:val="003806FA"/>
    <w:rsid w:val="0038099B"/>
    <w:rsid w:val="00380AAE"/>
    <w:rsid w:val="0038110D"/>
    <w:rsid w:val="0038116D"/>
    <w:rsid w:val="0038141E"/>
    <w:rsid w:val="00381542"/>
    <w:rsid w:val="00381D42"/>
    <w:rsid w:val="00381E27"/>
    <w:rsid w:val="003821C8"/>
    <w:rsid w:val="003829B9"/>
    <w:rsid w:val="0038322B"/>
    <w:rsid w:val="00383BA7"/>
    <w:rsid w:val="00384775"/>
    <w:rsid w:val="0038563A"/>
    <w:rsid w:val="00385E22"/>
    <w:rsid w:val="0039039E"/>
    <w:rsid w:val="0039054F"/>
    <w:rsid w:val="00390BA2"/>
    <w:rsid w:val="00390F4D"/>
    <w:rsid w:val="00391751"/>
    <w:rsid w:val="003918EE"/>
    <w:rsid w:val="00392717"/>
    <w:rsid w:val="003933E4"/>
    <w:rsid w:val="003936C4"/>
    <w:rsid w:val="0039406E"/>
    <w:rsid w:val="00395A4B"/>
    <w:rsid w:val="00395FEA"/>
    <w:rsid w:val="00396B06"/>
    <w:rsid w:val="003978AB"/>
    <w:rsid w:val="003A01DF"/>
    <w:rsid w:val="003A21DE"/>
    <w:rsid w:val="003A3232"/>
    <w:rsid w:val="003A3A4E"/>
    <w:rsid w:val="003A3E49"/>
    <w:rsid w:val="003A6D57"/>
    <w:rsid w:val="003B07D2"/>
    <w:rsid w:val="003B1E9F"/>
    <w:rsid w:val="003B3657"/>
    <w:rsid w:val="003B37D5"/>
    <w:rsid w:val="003B37F0"/>
    <w:rsid w:val="003B4748"/>
    <w:rsid w:val="003B4BC5"/>
    <w:rsid w:val="003B5A29"/>
    <w:rsid w:val="003C12BF"/>
    <w:rsid w:val="003C17B3"/>
    <w:rsid w:val="003C261C"/>
    <w:rsid w:val="003C2964"/>
    <w:rsid w:val="003C2D78"/>
    <w:rsid w:val="003C2FD6"/>
    <w:rsid w:val="003C3777"/>
    <w:rsid w:val="003C3B18"/>
    <w:rsid w:val="003C4B12"/>
    <w:rsid w:val="003C4E94"/>
    <w:rsid w:val="003C5949"/>
    <w:rsid w:val="003C6658"/>
    <w:rsid w:val="003C798C"/>
    <w:rsid w:val="003C79E8"/>
    <w:rsid w:val="003D042F"/>
    <w:rsid w:val="003D0464"/>
    <w:rsid w:val="003D165F"/>
    <w:rsid w:val="003D2B60"/>
    <w:rsid w:val="003D36E0"/>
    <w:rsid w:val="003D4141"/>
    <w:rsid w:val="003D4B4E"/>
    <w:rsid w:val="003D54C1"/>
    <w:rsid w:val="003D630D"/>
    <w:rsid w:val="003D65F4"/>
    <w:rsid w:val="003D7524"/>
    <w:rsid w:val="003D7D26"/>
    <w:rsid w:val="003E09E3"/>
    <w:rsid w:val="003E0B3D"/>
    <w:rsid w:val="003E0E67"/>
    <w:rsid w:val="003E1A75"/>
    <w:rsid w:val="003E2B2B"/>
    <w:rsid w:val="003E2C2D"/>
    <w:rsid w:val="003E2C86"/>
    <w:rsid w:val="003E3935"/>
    <w:rsid w:val="003E3A21"/>
    <w:rsid w:val="003E45FC"/>
    <w:rsid w:val="003E48AC"/>
    <w:rsid w:val="003E4E48"/>
    <w:rsid w:val="003E505F"/>
    <w:rsid w:val="003E51FE"/>
    <w:rsid w:val="003E6A35"/>
    <w:rsid w:val="003E726A"/>
    <w:rsid w:val="003E7403"/>
    <w:rsid w:val="003F0AA6"/>
    <w:rsid w:val="003F0E95"/>
    <w:rsid w:val="003F24B9"/>
    <w:rsid w:val="003F3631"/>
    <w:rsid w:val="003F3EFD"/>
    <w:rsid w:val="003F4068"/>
    <w:rsid w:val="003F4C2D"/>
    <w:rsid w:val="003F52AD"/>
    <w:rsid w:val="003F562F"/>
    <w:rsid w:val="003F7583"/>
    <w:rsid w:val="003F76D8"/>
    <w:rsid w:val="003F7C2C"/>
    <w:rsid w:val="003F7D93"/>
    <w:rsid w:val="003F7EAC"/>
    <w:rsid w:val="004013A4"/>
    <w:rsid w:val="00401F72"/>
    <w:rsid w:val="00402280"/>
    <w:rsid w:val="004024C7"/>
    <w:rsid w:val="00403146"/>
    <w:rsid w:val="004035AF"/>
    <w:rsid w:val="00403E00"/>
    <w:rsid w:val="004048F2"/>
    <w:rsid w:val="00404999"/>
    <w:rsid w:val="00404B86"/>
    <w:rsid w:val="00405665"/>
    <w:rsid w:val="00406328"/>
    <w:rsid w:val="004078DF"/>
    <w:rsid w:val="004110AD"/>
    <w:rsid w:val="00415306"/>
    <w:rsid w:val="004155D7"/>
    <w:rsid w:val="00415BE5"/>
    <w:rsid w:val="00416636"/>
    <w:rsid w:val="00417C19"/>
    <w:rsid w:val="00417DFE"/>
    <w:rsid w:val="00420607"/>
    <w:rsid w:val="0042083B"/>
    <w:rsid w:val="00420C63"/>
    <w:rsid w:val="00421469"/>
    <w:rsid w:val="00422E5C"/>
    <w:rsid w:val="004238F2"/>
    <w:rsid w:val="00425780"/>
    <w:rsid w:val="00425A90"/>
    <w:rsid w:val="00425E7A"/>
    <w:rsid w:val="0042603D"/>
    <w:rsid w:val="00426138"/>
    <w:rsid w:val="004262E6"/>
    <w:rsid w:val="00426E0C"/>
    <w:rsid w:val="00427861"/>
    <w:rsid w:val="00427DA6"/>
    <w:rsid w:val="00427E77"/>
    <w:rsid w:val="0043103A"/>
    <w:rsid w:val="0043115B"/>
    <w:rsid w:val="0043130F"/>
    <w:rsid w:val="00431A04"/>
    <w:rsid w:val="004321C5"/>
    <w:rsid w:val="004327EB"/>
    <w:rsid w:val="004333ED"/>
    <w:rsid w:val="00433991"/>
    <w:rsid w:val="00433FD7"/>
    <w:rsid w:val="00434AAA"/>
    <w:rsid w:val="0043516A"/>
    <w:rsid w:val="004402E7"/>
    <w:rsid w:val="004407E8"/>
    <w:rsid w:val="00440802"/>
    <w:rsid w:val="004408A5"/>
    <w:rsid w:val="0044128E"/>
    <w:rsid w:val="004414FD"/>
    <w:rsid w:val="0044254E"/>
    <w:rsid w:val="004425FA"/>
    <w:rsid w:val="00442724"/>
    <w:rsid w:val="00443412"/>
    <w:rsid w:val="00443446"/>
    <w:rsid w:val="00444133"/>
    <w:rsid w:val="00444DB4"/>
    <w:rsid w:val="00446216"/>
    <w:rsid w:val="004464BD"/>
    <w:rsid w:val="004477C3"/>
    <w:rsid w:val="004503C7"/>
    <w:rsid w:val="00450784"/>
    <w:rsid w:val="004507E5"/>
    <w:rsid w:val="00450CBC"/>
    <w:rsid w:val="00451367"/>
    <w:rsid w:val="00453E62"/>
    <w:rsid w:val="00453ED1"/>
    <w:rsid w:val="004541FD"/>
    <w:rsid w:val="00454971"/>
    <w:rsid w:val="00454D1E"/>
    <w:rsid w:val="004555C8"/>
    <w:rsid w:val="00455DA7"/>
    <w:rsid w:val="0045657F"/>
    <w:rsid w:val="00456B60"/>
    <w:rsid w:val="00460119"/>
    <w:rsid w:val="004603A0"/>
    <w:rsid w:val="00461010"/>
    <w:rsid w:val="004620E3"/>
    <w:rsid w:val="00462950"/>
    <w:rsid w:val="00462D96"/>
    <w:rsid w:val="0046350F"/>
    <w:rsid w:val="0046490E"/>
    <w:rsid w:val="00464FE8"/>
    <w:rsid w:val="00466C06"/>
    <w:rsid w:val="004674FC"/>
    <w:rsid w:val="00470389"/>
    <w:rsid w:val="00471B3F"/>
    <w:rsid w:val="004723C7"/>
    <w:rsid w:val="004732A1"/>
    <w:rsid w:val="00473331"/>
    <w:rsid w:val="004735B6"/>
    <w:rsid w:val="004742E0"/>
    <w:rsid w:val="00474746"/>
    <w:rsid w:val="00474ADA"/>
    <w:rsid w:val="0047521A"/>
    <w:rsid w:val="00475F81"/>
    <w:rsid w:val="004761CD"/>
    <w:rsid w:val="00476675"/>
    <w:rsid w:val="00476B9C"/>
    <w:rsid w:val="00477D7E"/>
    <w:rsid w:val="0048024B"/>
    <w:rsid w:val="00480CC2"/>
    <w:rsid w:val="00481210"/>
    <w:rsid w:val="00481406"/>
    <w:rsid w:val="0048155D"/>
    <w:rsid w:val="00481DA4"/>
    <w:rsid w:val="0048297D"/>
    <w:rsid w:val="00483113"/>
    <w:rsid w:val="004838E2"/>
    <w:rsid w:val="00483E90"/>
    <w:rsid w:val="00484051"/>
    <w:rsid w:val="004844D0"/>
    <w:rsid w:val="00484E8E"/>
    <w:rsid w:val="00485132"/>
    <w:rsid w:val="004859E6"/>
    <w:rsid w:val="00485A26"/>
    <w:rsid w:val="00486AED"/>
    <w:rsid w:val="0048706C"/>
    <w:rsid w:val="00487272"/>
    <w:rsid w:val="004879CD"/>
    <w:rsid w:val="00487B2E"/>
    <w:rsid w:val="00490132"/>
    <w:rsid w:val="00490C54"/>
    <w:rsid w:val="00490D13"/>
    <w:rsid w:val="00492480"/>
    <w:rsid w:val="004926B5"/>
    <w:rsid w:val="00492A94"/>
    <w:rsid w:val="00492C89"/>
    <w:rsid w:val="004933DC"/>
    <w:rsid w:val="00495080"/>
    <w:rsid w:val="0049619D"/>
    <w:rsid w:val="00496C86"/>
    <w:rsid w:val="00497113"/>
    <w:rsid w:val="004A0388"/>
    <w:rsid w:val="004A03A0"/>
    <w:rsid w:val="004A0414"/>
    <w:rsid w:val="004A0998"/>
    <w:rsid w:val="004A10E1"/>
    <w:rsid w:val="004A1710"/>
    <w:rsid w:val="004A1E1E"/>
    <w:rsid w:val="004A20AB"/>
    <w:rsid w:val="004A221A"/>
    <w:rsid w:val="004A24B3"/>
    <w:rsid w:val="004A32E6"/>
    <w:rsid w:val="004A3E99"/>
    <w:rsid w:val="004A3F28"/>
    <w:rsid w:val="004A405A"/>
    <w:rsid w:val="004A589F"/>
    <w:rsid w:val="004A5F86"/>
    <w:rsid w:val="004A63AC"/>
    <w:rsid w:val="004A70E6"/>
    <w:rsid w:val="004A7EC9"/>
    <w:rsid w:val="004B21EC"/>
    <w:rsid w:val="004B2741"/>
    <w:rsid w:val="004B2A6F"/>
    <w:rsid w:val="004B2B7F"/>
    <w:rsid w:val="004B2F17"/>
    <w:rsid w:val="004B460A"/>
    <w:rsid w:val="004B4BC3"/>
    <w:rsid w:val="004B5C90"/>
    <w:rsid w:val="004B5EAA"/>
    <w:rsid w:val="004B652B"/>
    <w:rsid w:val="004B6958"/>
    <w:rsid w:val="004B706D"/>
    <w:rsid w:val="004B7473"/>
    <w:rsid w:val="004C163C"/>
    <w:rsid w:val="004C1FE4"/>
    <w:rsid w:val="004C33DB"/>
    <w:rsid w:val="004C37A0"/>
    <w:rsid w:val="004C39AF"/>
    <w:rsid w:val="004C40BE"/>
    <w:rsid w:val="004C421E"/>
    <w:rsid w:val="004C44DA"/>
    <w:rsid w:val="004C575A"/>
    <w:rsid w:val="004C5C1E"/>
    <w:rsid w:val="004C655A"/>
    <w:rsid w:val="004C7734"/>
    <w:rsid w:val="004C7A21"/>
    <w:rsid w:val="004C7A4E"/>
    <w:rsid w:val="004C7F23"/>
    <w:rsid w:val="004D0791"/>
    <w:rsid w:val="004D1D8C"/>
    <w:rsid w:val="004D1E11"/>
    <w:rsid w:val="004D20D6"/>
    <w:rsid w:val="004D2500"/>
    <w:rsid w:val="004D2C65"/>
    <w:rsid w:val="004D3BE2"/>
    <w:rsid w:val="004D3CD1"/>
    <w:rsid w:val="004D560C"/>
    <w:rsid w:val="004D5676"/>
    <w:rsid w:val="004D5835"/>
    <w:rsid w:val="004D5B35"/>
    <w:rsid w:val="004D5C18"/>
    <w:rsid w:val="004D7C08"/>
    <w:rsid w:val="004D7C7C"/>
    <w:rsid w:val="004E01BC"/>
    <w:rsid w:val="004E0983"/>
    <w:rsid w:val="004E14B8"/>
    <w:rsid w:val="004E1E0B"/>
    <w:rsid w:val="004E1F87"/>
    <w:rsid w:val="004E21D3"/>
    <w:rsid w:val="004E2841"/>
    <w:rsid w:val="004E2E92"/>
    <w:rsid w:val="004E3C7D"/>
    <w:rsid w:val="004E3CC2"/>
    <w:rsid w:val="004E456A"/>
    <w:rsid w:val="004E477B"/>
    <w:rsid w:val="004E4CB6"/>
    <w:rsid w:val="004E52E1"/>
    <w:rsid w:val="004E7581"/>
    <w:rsid w:val="004E7687"/>
    <w:rsid w:val="004E775D"/>
    <w:rsid w:val="004F0850"/>
    <w:rsid w:val="004F0C58"/>
    <w:rsid w:val="004F1049"/>
    <w:rsid w:val="004F20CB"/>
    <w:rsid w:val="004F2487"/>
    <w:rsid w:val="004F484F"/>
    <w:rsid w:val="004F52AA"/>
    <w:rsid w:val="004F531A"/>
    <w:rsid w:val="004F64F4"/>
    <w:rsid w:val="004F76E0"/>
    <w:rsid w:val="0050001C"/>
    <w:rsid w:val="005008A3"/>
    <w:rsid w:val="00500FB2"/>
    <w:rsid w:val="0050107D"/>
    <w:rsid w:val="00501DA9"/>
    <w:rsid w:val="0050212E"/>
    <w:rsid w:val="00502AEF"/>
    <w:rsid w:val="00502EE4"/>
    <w:rsid w:val="0050362C"/>
    <w:rsid w:val="00504516"/>
    <w:rsid w:val="0050541F"/>
    <w:rsid w:val="00506493"/>
    <w:rsid w:val="005073CF"/>
    <w:rsid w:val="00510B8F"/>
    <w:rsid w:val="005117AC"/>
    <w:rsid w:val="00511E33"/>
    <w:rsid w:val="0051229D"/>
    <w:rsid w:val="00512610"/>
    <w:rsid w:val="00512AED"/>
    <w:rsid w:val="00513327"/>
    <w:rsid w:val="00513D1A"/>
    <w:rsid w:val="00515F90"/>
    <w:rsid w:val="00515FAC"/>
    <w:rsid w:val="00516223"/>
    <w:rsid w:val="00516566"/>
    <w:rsid w:val="00516D23"/>
    <w:rsid w:val="00517C63"/>
    <w:rsid w:val="00520EF5"/>
    <w:rsid w:val="00520F44"/>
    <w:rsid w:val="005210D9"/>
    <w:rsid w:val="00521280"/>
    <w:rsid w:val="00521AEE"/>
    <w:rsid w:val="005228C0"/>
    <w:rsid w:val="00522A4E"/>
    <w:rsid w:val="00522D67"/>
    <w:rsid w:val="0052454A"/>
    <w:rsid w:val="00524C51"/>
    <w:rsid w:val="00524D3F"/>
    <w:rsid w:val="00525431"/>
    <w:rsid w:val="00526038"/>
    <w:rsid w:val="00526157"/>
    <w:rsid w:val="00526479"/>
    <w:rsid w:val="005271DF"/>
    <w:rsid w:val="0052759B"/>
    <w:rsid w:val="00530493"/>
    <w:rsid w:val="00530E25"/>
    <w:rsid w:val="0053112F"/>
    <w:rsid w:val="00531421"/>
    <w:rsid w:val="00532246"/>
    <w:rsid w:val="005328FF"/>
    <w:rsid w:val="00533759"/>
    <w:rsid w:val="00534130"/>
    <w:rsid w:val="005347F2"/>
    <w:rsid w:val="00535A76"/>
    <w:rsid w:val="00535C55"/>
    <w:rsid w:val="0053619F"/>
    <w:rsid w:val="005363A7"/>
    <w:rsid w:val="00536994"/>
    <w:rsid w:val="005369C7"/>
    <w:rsid w:val="00537678"/>
    <w:rsid w:val="00540FD2"/>
    <w:rsid w:val="00541D1C"/>
    <w:rsid w:val="00541E77"/>
    <w:rsid w:val="005425E6"/>
    <w:rsid w:val="00542924"/>
    <w:rsid w:val="00542A66"/>
    <w:rsid w:val="00542BC0"/>
    <w:rsid w:val="00542DC6"/>
    <w:rsid w:val="0054357B"/>
    <w:rsid w:val="00544C92"/>
    <w:rsid w:val="00544D1E"/>
    <w:rsid w:val="00544E11"/>
    <w:rsid w:val="00545D04"/>
    <w:rsid w:val="005463C2"/>
    <w:rsid w:val="005468FB"/>
    <w:rsid w:val="00546D92"/>
    <w:rsid w:val="00546DF0"/>
    <w:rsid w:val="00546EAF"/>
    <w:rsid w:val="0054714C"/>
    <w:rsid w:val="00550993"/>
    <w:rsid w:val="005510A1"/>
    <w:rsid w:val="00551148"/>
    <w:rsid w:val="0055142B"/>
    <w:rsid w:val="00551B20"/>
    <w:rsid w:val="00553692"/>
    <w:rsid w:val="005539F7"/>
    <w:rsid w:val="005561D4"/>
    <w:rsid w:val="0056090E"/>
    <w:rsid w:val="00561AC4"/>
    <w:rsid w:val="00563250"/>
    <w:rsid w:val="005639AA"/>
    <w:rsid w:val="00563B6E"/>
    <w:rsid w:val="00563BE1"/>
    <w:rsid w:val="00563EFD"/>
    <w:rsid w:val="005641AE"/>
    <w:rsid w:val="00564F2D"/>
    <w:rsid w:val="0056547A"/>
    <w:rsid w:val="00565CDB"/>
    <w:rsid w:val="00565D91"/>
    <w:rsid w:val="0056627D"/>
    <w:rsid w:val="005667B7"/>
    <w:rsid w:val="0057123A"/>
    <w:rsid w:val="00572B13"/>
    <w:rsid w:val="00572D95"/>
    <w:rsid w:val="00573DBC"/>
    <w:rsid w:val="005744AE"/>
    <w:rsid w:val="00574CF6"/>
    <w:rsid w:val="0057566A"/>
    <w:rsid w:val="005757C0"/>
    <w:rsid w:val="0057596A"/>
    <w:rsid w:val="00575A86"/>
    <w:rsid w:val="00575F35"/>
    <w:rsid w:val="005764F8"/>
    <w:rsid w:val="0057656C"/>
    <w:rsid w:val="00576C39"/>
    <w:rsid w:val="005771CB"/>
    <w:rsid w:val="005773EC"/>
    <w:rsid w:val="00577446"/>
    <w:rsid w:val="00577753"/>
    <w:rsid w:val="00577F06"/>
    <w:rsid w:val="00577FB7"/>
    <w:rsid w:val="00580229"/>
    <w:rsid w:val="00580629"/>
    <w:rsid w:val="0058087E"/>
    <w:rsid w:val="00581199"/>
    <w:rsid w:val="00581715"/>
    <w:rsid w:val="00581C4E"/>
    <w:rsid w:val="00582356"/>
    <w:rsid w:val="00582A9A"/>
    <w:rsid w:val="00582F42"/>
    <w:rsid w:val="005847E0"/>
    <w:rsid w:val="00584820"/>
    <w:rsid w:val="00584E3C"/>
    <w:rsid w:val="005854E1"/>
    <w:rsid w:val="005854EF"/>
    <w:rsid w:val="00585B55"/>
    <w:rsid w:val="00585C01"/>
    <w:rsid w:val="00586304"/>
    <w:rsid w:val="0058681F"/>
    <w:rsid w:val="00587769"/>
    <w:rsid w:val="00587C48"/>
    <w:rsid w:val="005906AE"/>
    <w:rsid w:val="00590D40"/>
    <w:rsid w:val="0059135B"/>
    <w:rsid w:val="005919ED"/>
    <w:rsid w:val="00591C5E"/>
    <w:rsid w:val="00592011"/>
    <w:rsid w:val="0059203B"/>
    <w:rsid w:val="00592666"/>
    <w:rsid w:val="005954E1"/>
    <w:rsid w:val="0059632A"/>
    <w:rsid w:val="00597960"/>
    <w:rsid w:val="005A07B1"/>
    <w:rsid w:val="005A0F8A"/>
    <w:rsid w:val="005A1148"/>
    <w:rsid w:val="005A12C9"/>
    <w:rsid w:val="005A1371"/>
    <w:rsid w:val="005A1910"/>
    <w:rsid w:val="005A1A34"/>
    <w:rsid w:val="005A2514"/>
    <w:rsid w:val="005A32BA"/>
    <w:rsid w:val="005A3D50"/>
    <w:rsid w:val="005A4AC6"/>
    <w:rsid w:val="005A4E75"/>
    <w:rsid w:val="005A4F50"/>
    <w:rsid w:val="005A53EB"/>
    <w:rsid w:val="005A6971"/>
    <w:rsid w:val="005B14FD"/>
    <w:rsid w:val="005B1C1C"/>
    <w:rsid w:val="005B1CFB"/>
    <w:rsid w:val="005B2212"/>
    <w:rsid w:val="005B24F5"/>
    <w:rsid w:val="005B29C0"/>
    <w:rsid w:val="005B2D3A"/>
    <w:rsid w:val="005B3C5A"/>
    <w:rsid w:val="005B5963"/>
    <w:rsid w:val="005B6734"/>
    <w:rsid w:val="005B6828"/>
    <w:rsid w:val="005B6A8D"/>
    <w:rsid w:val="005B6F08"/>
    <w:rsid w:val="005B6FB7"/>
    <w:rsid w:val="005B727D"/>
    <w:rsid w:val="005C1D5B"/>
    <w:rsid w:val="005C2903"/>
    <w:rsid w:val="005C296D"/>
    <w:rsid w:val="005C339C"/>
    <w:rsid w:val="005C341C"/>
    <w:rsid w:val="005C3616"/>
    <w:rsid w:val="005C36CB"/>
    <w:rsid w:val="005C3C9A"/>
    <w:rsid w:val="005C4AAA"/>
    <w:rsid w:val="005C5489"/>
    <w:rsid w:val="005C57F9"/>
    <w:rsid w:val="005C5E3B"/>
    <w:rsid w:val="005C60B5"/>
    <w:rsid w:val="005C74B2"/>
    <w:rsid w:val="005C7630"/>
    <w:rsid w:val="005C768B"/>
    <w:rsid w:val="005C773A"/>
    <w:rsid w:val="005D0735"/>
    <w:rsid w:val="005D113E"/>
    <w:rsid w:val="005D1DE4"/>
    <w:rsid w:val="005D27E2"/>
    <w:rsid w:val="005D655F"/>
    <w:rsid w:val="005D6CAB"/>
    <w:rsid w:val="005D7495"/>
    <w:rsid w:val="005D763A"/>
    <w:rsid w:val="005D791F"/>
    <w:rsid w:val="005D7AD8"/>
    <w:rsid w:val="005E0676"/>
    <w:rsid w:val="005E08A7"/>
    <w:rsid w:val="005E1D31"/>
    <w:rsid w:val="005E5330"/>
    <w:rsid w:val="005E53FA"/>
    <w:rsid w:val="005E5461"/>
    <w:rsid w:val="005E56C0"/>
    <w:rsid w:val="005E6037"/>
    <w:rsid w:val="005E7A49"/>
    <w:rsid w:val="005F16BD"/>
    <w:rsid w:val="005F1710"/>
    <w:rsid w:val="005F325B"/>
    <w:rsid w:val="005F35FE"/>
    <w:rsid w:val="005F4617"/>
    <w:rsid w:val="005F5780"/>
    <w:rsid w:val="005F67F3"/>
    <w:rsid w:val="005F69FA"/>
    <w:rsid w:val="005F6BCD"/>
    <w:rsid w:val="00600E34"/>
    <w:rsid w:val="006046E1"/>
    <w:rsid w:val="00604994"/>
    <w:rsid w:val="00604B10"/>
    <w:rsid w:val="00604C3C"/>
    <w:rsid w:val="00604CA8"/>
    <w:rsid w:val="00605A62"/>
    <w:rsid w:val="00605E3D"/>
    <w:rsid w:val="00606339"/>
    <w:rsid w:val="00606E01"/>
    <w:rsid w:val="00606F91"/>
    <w:rsid w:val="006076D5"/>
    <w:rsid w:val="00610403"/>
    <w:rsid w:val="006109CC"/>
    <w:rsid w:val="00610CD3"/>
    <w:rsid w:val="00611BA8"/>
    <w:rsid w:val="0061248D"/>
    <w:rsid w:val="00612BA1"/>
    <w:rsid w:val="0061356E"/>
    <w:rsid w:val="006137B5"/>
    <w:rsid w:val="00613A12"/>
    <w:rsid w:val="00613A84"/>
    <w:rsid w:val="00613C37"/>
    <w:rsid w:val="006147C5"/>
    <w:rsid w:val="0061517C"/>
    <w:rsid w:val="00615A71"/>
    <w:rsid w:val="00615C74"/>
    <w:rsid w:val="006160C7"/>
    <w:rsid w:val="006164FF"/>
    <w:rsid w:val="00616B33"/>
    <w:rsid w:val="00617566"/>
    <w:rsid w:val="00617F75"/>
    <w:rsid w:val="0062009C"/>
    <w:rsid w:val="00620A34"/>
    <w:rsid w:val="0062176C"/>
    <w:rsid w:val="00621A24"/>
    <w:rsid w:val="00622365"/>
    <w:rsid w:val="006227EF"/>
    <w:rsid w:val="0062292E"/>
    <w:rsid w:val="00622948"/>
    <w:rsid w:val="00622E3A"/>
    <w:rsid w:val="00623F5A"/>
    <w:rsid w:val="00623FBD"/>
    <w:rsid w:val="00624871"/>
    <w:rsid w:val="00624DFC"/>
    <w:rsid w:val="0062514F"/>
    <w:rsid w:val="006253AF"/>
    <w:rsid w:val="00625C8E"/>
    <w:rsid w:val="00626868"/>
    <w:rsid w:val="00626C50"/>
    <w:rsid w:val="006274E9"/>
    <w:rsid w:val="00627D5A"/>
    <w:rsid w:val="00627DB7"/>
    <w:rsid w:val="00627F44"/>
    <w:rsid w:val="0063016C"/>
    <w:rsid w:val="006313DB"/>
    <w:rsid w:val="006321EE"/>
    <w:rsid w:val="0063254D"/>
    <w:rsid w:val="0063273A"/>
    <w:rsid w:val="00633521"/>
    <w:rsid w:val="006351B3"/>
    <w:rsid w:val="0063579D"/>
    <w:rsid w:val="00635B56"/>
    <w:rsid w:val="0063602E"/>
    <w:rsid w:val="006368FD"/>
    <w:rsid w:val="00637137"/>
    <w:rsid w:val="00637349"/>
    <w:rsid w:val="006374EA"/>
    <w:rsid w:val="006375B6"/>
    <w:rsid w:val="006378C9"/>
    <w:rsid w:val="00641284"/>
    <w:rsid w:val="00643189"/>
    <w:rsid w:val="006433C2"/>
    <w:rsid w:val="006436AF"/>
    <w:rsid w:val="00643BD7"/>
    <w:rsid w:val="006448D7"/>
    <w:rsid w:val="006449C1"/>
    <w:rsid w:val="00646CB9"/>
    <w:rsid w:val="006471F4"/>
    <w:rsid w:val="00647D56"/>
    <w:rsid w:val="00647D78"/>
    <w:rsid w:val="006507F4"/>
    <w:rsid w:val="006512B1"/>
    <w:rsid w:val="00652177"/>
    <w:rsid w:val="0065257E"/>
    <w:rsid w:val="00652780"/>
    <w:rsid w:val="00652B69"/>
    <w:rsid w:val="00652EA4"/>
    <w:rsid w:val="006540B2"/>
    <w:rsid w:val="0065417B"/>
    <w:rsid w:val="0065510B"/>
    <w:rsid w:val="00655605"/>
    <w:rsid w:val="00655A39"/>
    <w:rsid w:val="006562B2"/>
    <w:rsid w:val="006565EC"/>
    <w:rsid w:val="00657006"/>
    <w:rsid w:val="006601F0"/>
    <w:rsid w:val="006628F1"/>
    <w:rsid w:val="0066295F"/>
    <w:rsid w:val="0066352E"/>
    <w:rsid w:val="00665476"/>
    <w:rsid w:val="006657D3"/>
    <w:rsid w:val="00665B79"/>
    <w:rsid w:val="00667089"/>
    <w:rsid w:val="0066796D"/>
    <w:rsid w:val="00667BA3"/>
    <w:rsid w:val="006725FF"/>
    <w:rsid w:val="00673AF7"/>
    <w:rsid w:val="00673FF7"/>
    <w:rsid w:val="00674DD3"/>
    <w:rsid w:val="006816F2"/>
    <w:rsid w:val="006828B9"/>
    <w:rsid w:val="00682943"/>
    <w:rsid w:val="00682DBF"/>
    <w:rsid w:val="00683C75"/>
    <w:rsid w:val="006844D1"/>
    <w:rsid w:val="00684A8B"/>
    <w:rsid w:val="00684AE5"/>
    <w:rsid w:val="00685FAC"/>
    <w:rsid w:val="00686628"/>
    <w:rsid w:val="006869D9"/>
    <w:rsid w:val="00687164"/>
    <w:rsid w:val="0068748F"/>
    <w:rsid w:val="006902D6"/>
    <w:rsid w:val="006903D9"/>
    <w:rsid w:val="00690B19"/>
    <w:rsid w:val="00691D36"/>
    <w:rsid w:val="00693332"/>
    <w:rsid w:val="00693BA9"/>
    <w:rsid w:val="00693D4A"/>
    <w:rsid w:val="00694712"/>
    <w:rsid w:val="00695436"/>
    <w:rsid w:val="00695817"/>
    <w:rsid w:val="00695B36"/>
    <w:rsid w:val="00695EC3"/>
    <w:rsid w:val="006971BB"/>
    <w:rsid w:val="006A0194"/>
    <w:rsid w:val="006A1466"/>
    <w:rsid w:val="006A2B25"/>
    <w:rsid w:val="006A344E"/>
    <w:rsid w:val="006A358D"/>
    <w:rsid w:val="006A3AE7"/>
    <w:rsid w:val="006A5A9E"/>
    <w:rsid w:val="006A5AA2"/>
    <w:rsid w:val="006A6A10"/>
    <w:rsid w:val="006A6CC7"/>
    <w:rsid w:val="006B0960"/>
    <w:rsid w:val="006B1E2E"/>
    <w:rsid w:val="006B30F6"/>
    <w:rsid w:val="006B3169"/>
    <w:rsid w:val="006B3571"/>
    <w:rsid w:val="006B4698"/>
    <w:rsid w:val="006B52A7"/>
    <w:rsid w:val="006B57E2"/>
    <w:rsid w:val="006B580F"/>
    <w:rsid w:val="006B6C2A"/>
    <w:rsid w:val="006B6D06"/>
    <w:rsid w:val="006B76B3"/>
    <w:rsid w:val="006C04FA"/>
    <w:rsid w:val="006C0837"/>
    <w:rsid w:val="006C127B"/>
    <w:rsid w:val="006C1ADD"/>
    <w:rsid w:val="006C1B41"/>
    <w:rsid w:val="006C3262"/>
    <w:rsid w:val="006C45C8"/>
    <w:rsid w:val="006C6318"/>
    <w:rsid w:val="006C65D5"/>
    <w:rsid w:val="006C6C80"/>
    <w:rsid w:val="006C7733"/>
    <w:rsid w:val="006D0BD3"/>
    <w:rsid w:val="006D0D5A"/>
    <w:rsid w:val="006D2CEB"/>
    <w:rsid w:val="006D3077"/>
    <w:rsid w:val="006D42AA"/>
    <w:rsid w:val="006D4387"/>
    <w:rsid w:val="006D4F8F"/>
    <w:rsid w:val="006D598D"/>
    <w:rsid w:val="006D5A91"/>
    <w:rsid w:val="006D63FA"/>
    <w:rsid w:val="006D657F"/>
    <w:rsid w:val="006D77A6"/>
    <w:rsid w:val="006D7860"/>
    <w:rsid w:val="006E067D"/>
    <w:rsid w:val="006E0C7E"/>
    <w:rsid w:val="006E1287"/>
    <w:rsid w:val="006E139D"/>
    <w:rsid w:val="006E4F9B"/>
    <w:rsid w:val="006E61FA"/>
    <w:rsid w:val="006E6466"/>
    <w:rsid w:val="006E6AAA"/>
    <w:rsid w:val="006F038C"/>
    <w:rsid w:val="006F0464"/>
    <w:rsid w:val="006F14F6"/>
    <w:rsid w:val="006F2099"/>
    <w:rsid w:val="006F2408"/>
    <w:rsid w:val="006F3806"/>
    <w:rsid w:val="006F4189"/>
    <w:rsid w:val="006F57FE"/>
    <w:rsid w:val="006F5D99"/>
    <w:rsid w:val="006F722C"/>
    <w:rsid w:val="006F7D97"/>
    <w:rsid w:val="00701618"/>
    <w:rsid w:val="007022C0"/>
    <w:rsid w:val="00702454"/>
    <w:rsid w:val="0070247A"/>
    <w:rsid w:val="00702F1A"/>
    <w:rsid w:val="0070328C"/>
    <w:rsid w:val="007037B6"/>
    <w:rsid w:val="00703A1F"/>
    <w:rsid w:val="00703B41"/>
    <w:rsid w:val="00703E18"/>
    <w:rsid w:val="00704113"/>
    <w:rsid w:val="00705125"/>
    <w:rsid w:val="00705B95"/>
    <w:rsid w:val="00705C90"/>
    <w:rsid w:val="007069A1"/>
    <w:rsid w:val="00706E0B"/>
    <w:rsid w:val="00707300"/>
    <w:rsid w:val="00707935"/>
    <w:rsid w:val="00711B45"/>
    <w:rsid w:val="007120D6"/>
    <w:rsid w:val="00712616"/>
    <w:rsid w:val="00714374"/>
    <w:rsid w:val="0071599D"/>
    <w:rsid w:val="00715ADB"/>
    <w:rsid w:val="007172D2"/>
    <w:rsid w:val="007173E7"/>
    <w:rsid w:val="00720707"/>
    <w:rsid w:val="00720951"/>
    <w:rsid w:val="00720A47"/>
    <w:rsid w:val="0072136A"/>
    <w:rsid w:val="007218C1"/>
    <w:rsid w:val="00721C7E"/>
    <w:rsid w:val="00722281"/>
    <w:rsid w:val="007227A3"/>
    <w:rsid w:val="00722CAC"/>
    <w:rsid w:val="00722DC6"/>
    <w:rsid w:val="00722E16"/>
    <w:rsid w:val="0072330E"/>
    <w:rsid w:val="0072491D"/>
    <w:rsid w:val="00724D65"/>
    <w:rsid w:val="00725154"/>
    <w:rsid w:val="0072524B"/>
    <w:rsid w:val="00725A44"/>
    <w:rsid w:val="00725D45"/>
    <w:rsid w:val="00731036"/>
    <w:rsid w:val="00731F1F"/>
    <w:rsid w:val="00732650"/>
    <w:rsid w:val="0073298A"/>
    <w:rsid w:val="007338C1"/>
    <w:rsid w:val="00733988"/>
    <w:rsid w:val="0073449C"/>
    <w:rsid w:val="00734B72"/>
    <w:rsid w:val="00734BF8"/>
    <w:rsid w:val="00735370"/>
    <w:rsid w:val="0073607D"/>
    <w:rsid w:val="007364ED"/>
    <w:rsid w:val="00736915"/>
    <w:rsid w:val="00736ECC"/>
    <w:rsid w:val="007409E0"/>
    <w:rsid w:val="00740B25"/>
    <w:rsid w:val="007414C8"/>
    <w:rsid w:val="00741A39"/>
    <w:rsid w:val="0074266D"/>
    <w:rsid w:val="00742CCE"/>
    <w:rsid w:val="00742E34"/>
    <w:rsid w:val="00742E77"/>
    <w:rsid w:val="00742FDB"/>
    <w:rsid w:val="0074352B"/>
    <w:rsid w:val="00743C01"/>
    <w:rsid w:val="0074481A"/>
    <w:rsid w:val="00745BB2"/>
    <w:rsid w:val="007465DC"/>
    <w:rsid w:val="00746E28"/>
    <w:rsid w:val="00747710"/>
    <w:rsid w:val="00747A2C"/>
    <w:rsid w:val="00751203"/>
    <w:rsid w:val="00751218"/>
    <w:rsid w:val="0075188B"/>
    <w:rsid w:val="00752D27"/>
    <w:rsid w:val="00752E94"/>
    <w:rsid w:val="0075306C"/>
    <w:rsid w:val="00753B0E"/>
    <w:rsid w:val="00753F11"/>
    <w:rsid w:val="00754F96"/>
    <w:rsid w:val="0075586B"/>
    <w:rsid w:val="00756563"/>
    <w:rsid w:val="007565F5"/>
    <w:rsid w:val="00757186"/>
    <w:rsid w:val="00757B7B"/>
    <w:rsid w:val="00757CC6"/>
    <w:rsid w:val="007616CA"/>
    <w:rsid w:val="00761E6D"/>
    <w:rsid w:val="00762957"/>
    <w:rsid w:val="00763E0C"/>
    <w:rsid w:val="007640F6"/>
    <w:rsid w:val="00765370"/>
    <w:rsid w:val="00765739"/>
    <w:rsid w:val="00766BFB"/>
    <w:rsid w:val="00767B63"/>
    <w:rsid w:val="00767FA3"/>
    <w:rsid w:val="00770878"/>
    <w:rsid w:val="00770B16"/>
    <w:rsid w:val="0077263B"/>
    <w:rsid w:val="00772B2A"/>
    <w:rsid w:val="00774BFA"/>
    <w:rsid w:val="0077537B"/>
    <w:rsid w:val="007756B4"/>
    <w:rsid w:val="00775A9D"/>
    <w:rsid w:val="00775E06"/>
    <w:rsid w:val="0077618A"/>
    <w:rsid w:val="00776350"/>
    <w:rsid w:val="00776970"/>
    <w:rsid w:val="00777321"/>
    <w:rsid w:val="00780249"/>
    <w:rsid w:val="007804AF"/>
    <w:rsid w:val="007808EB"/>
    <w:rsid w:val="00781810"/>
    <w:rsid w:val="00781CAB"/>
    <w:rsid w:val="00782D2F"/>
    <w:rsid w:val="007831CD"/>
    <w:rsid w:val="0078327D"/>
    <w:rsid w:val="0078407E"/>
    <w:rsid w:val="007844B7"/>
    <w:rsid w:val="007846C1"/>
    <w:rsid w:val="007849AE"/>
    <w:rsid w:val="007871E6"/>
    <w:rsid w:val="00787B4B"/>
    <w:rsid w:val="0079009C"/>
    <w:rsid w:val="00790495"/>
    <w:rsid w:val="00790AA2"/>
    <w:rsid w:val="007923CD"/>
    <w:rsid w:val="00793E4B"/>
    <w:rsid w:val="00794365"/>
    <w:rsid w:val="00794EFE"/>
    <w:rsid w:val="0079510A"/>
    <w:rsid w:val="00795863"/>
    <w:rsid w:val="007974B6"/>
    <w:rsid w:val="007A0071"/>
    <w:rsid w:val="007A0AD3"/>
    <w:rsid w:val="007A201C"/>
    <w:rsid w:val="007A2A43"/>
    <w:rsid w:val="007A2E23"/>
    <w:rsid w:val="007A32DC"/>
    <w:rsid w:val="007A3A3A"/>
    <w:rsid w:val="007A3E59"/>
    <w:rsid w:val="007A46E8"/>
    <w:rsid w:val="007A5E30"/>
    <w:rsid w:val="007A73EF"/>
    <w:rsid w:val="007B1C9B"/>
    <w:rsid w:val="007B3E9A"/>
    <w:rsid w:val="007B499C"/>
    <w:rsid w:val="007B4BFB"/>
    <w:rsid w:val="007B56EA"/>
    <w:rsid w:val="007B5963"/>
    <w:rsid w:val="007C1D3C"/>
    <w:rsid w:val="007C3803"/>
    <w:rsid w:val="007C3BB1"/>
    <w:rsid w:val="007C4351"/>
    <w:rsid w:val="007C521B"/>
    <w:rsid w:val="007C5251"/>
    <w:rsid w:val="007C58E0"/>
    <w:rsid w:val="007C5D2F"/>
    <w:rsid w:val="007C68BC"/>
    <w:rsid w:val="007C6EFE"/>
    <w:rsid w:val="007C71E8"/>
    <w:rsid w:val="007C7BE1"/>
    <w:rsid w:val="007D09B0"/>
    <w:rsid w:val="007D0E9F"/>
    <w:rsid w:val="007D0F1E"/>
    <w:rsid w:val="007D1F16"/>
    <w:rsid w:val="007D254A"/>
    <w:rsid w:val="007D2CCF"/>
    <w:rsid w:val="007D38B8"/>
    <w:rsid w:val="007D3AF4"/>
    <w:rsid w:val="007D3F73"/>
    <w:rsid w:val="007D492A"/>
    <w:rsid w:val="007D516D"/>
    <w:rsid w:val="007D541E"/>
    <w:rsid w:val="007D5BA1"/>
    <w:rsid w:val="007D611B"/>
    <w:rsid w:val="007D767C"/>
    <w:rsid w:val="007D77CB"/>
    <w:rsid w:val="007D7944"/>
    <w:rsid w:val="007D7A0E"/>
    <w:rsid w:val="007E205F"/>
    <w:rsid w:val="007E3576"/>
    <w:rsid w:val="007E3BD6"/>
    <w:rsid w:val="007E438C"/>
    <w:rsid w:val="007E4455"/>
    <w:rsid w:val="007E570F"/>
    <w:rsid w:val="007E5BD1"/>
    <w:rsid w:val="007E6545"/>
    <w:rsid w:val="007E6781"/>
    <w:rsid w:val="007E6FA0"/>
    <w:rsid w:val="007E7249"/>
    <w:rsid w:val="007E72FB"/>
    <w:rsid w:val="007E76FE"/>
    <w:rsid w:val="007E798A"/>
    <w:rsid w:val="007E7B3F"/>
    <w:rsid w:val="007E7C36"/>
    <w:rsid w:val="007F1CA6"/>
    <w:rsid w:val="007F1E8A"/>
    <w:rsid w:val="007F1F8B"/>
    <w:rsid w:val="007F2D35"/>
    <w:rsid w:val="007F31F5"/>
    <w:rsid w:val="007F3252"/>
    <w:rsid w:val="007F4F76"/>
    <w:rsid w:val="007F55E1"/>
    <w:rsid w:val="007F58C8"/>
    <w:rsid w:val="007F58DA"/>
    <w:rsid w:val="007F7F42"/>
    <w:rsid w:val="00800133"/>
    <w:rsid w:val="00800C4F"/>
    <w:rsid w:val="0080132C"/>
    <w:rsid w:val="008022E1"/>
    <w:rsid w:val="00803553"/>
    <w:rsid w:val="00803BF7"/>
    <w:rsid w:val="00803DD0"/>
    <w:rsid w:val="008048AB"/>
    <w:rsid w:val="00804E7B"/>
    <w:rsid w:val="008051D7"/>
    <w:rsid w:val="008056A3"/>
    <w:rsid w:val="00806052"/>
    <w:rsid w:val="00807605"/>
    <w:rsid w:val="00807B96"/>
    <w:rsid w:val="0081025B"/>
    <w:rsid w:val="00810B62"/>
    <w:rsid w:val="008110B3"/>
    <w:rsid w:val="0081167A"/>
    <w:rsid w:val="00811AD3"/>
    <w:rsid w:val="00811CAC"/>
    <w:rsid w:val="00813D11"/>
    <w:rsid w:val="00813EA5"/>
    <w:rsid w:val="00814DB4"/>
    <w:rsid w:val="00814F18"/>
    <w:rsid w:val="00815E5E"/>
    <w:rsid w:val="008162FC"/>
    <w:rsid w:val="0082171F"/>
    <w:rsid w:val="00821E18"/>
    <w:rsid w:val="0082315C"/>
    <w:rsid w:val="008243A3"/>
    <w:rsid w:val="00824894"/>
    <w:rsid w:val="00824D19"/>
    <w:rsid w:val="008252CC"/>
    <w:rsid w:val="0082581D"/>
    <w:rsid w:val="0082602E"/>
    <w:rsid w:val="0082615F"/>
    <w:rsid w:val="008267E7"/>
    <w:rsid w:val="00830FCC"/>
    <w:rsid w:val="008312D6"/>
    <w:rsid w:val="00831DEA"/>
    <w:rsid w:val="00832163"/>
    <w:rsid w:val="008327EB"/>
    <w:rsid w:val="008331AB"/>
    <w:rsid w:val="0083461D"/>
    <w:rsid w:val="00834938"/>
    <w:rsid w:val="00834C1E"/>
    <w:rsid w:val="00834E68"/>
    <w:rsid w:val="008357C6"/>
    <w:rsid w:val="00835E68"/>
    <w:rsid w:val="0083751C"/>
    <w:rsid w:val="008378FC"/>
    <w:rsid w:val="00837ED8"/>
    <w:rsid w:val="00840D42"/>
    <w:rsid w:val="00840DD7"/>
    <w:rsid w:val="00841191"/>
    <w:rsid w:val="008412EA"/>
    <w:rsid w:val="0084154A"/>
    <w:rsid w:val="00842D92"/>
    <w:rsid w:val="0084332D"/>
    <w:rsid w:val="00843896"/>
    <w:rsid w:val="0084601D"/>
    <w:rsid w:val="008467D3"/>
    <w:rsid w:val="008470D2"/>
    <w:rsid w:val="00850734"/>
    <w:rsid w:val="0085158E"/>
    <w:rsid w:val="00852118"/>
    <w:rsid w:val="00852969"/>
    <w:rsid w:val="00852A4E"/>
    <w:rsid w:val="00853720"/>
    <w:rsid w:val="00853E37"/>
    <w:rsid w:val="008545D7"/>
    <w:rsid w:val="008548A5"/>
    <w:rsid w:val="0085769D"/>
    <w:rsid w:val="00861748"/>
    <w:rsid w:val="00861DD5"/>
    <w:rsid w:val="008620D9"/>
    <w:rsid w:val="00862F54"/>
    <w:rsid w:val="00863919"/>
    <w:rsid w:val="008640E9"/>
    <w:rsid w:val="00864B2A"/>
    <w:rsid w:val="00865F14"/>
    <w:rsid w:val="008675CD"/>
    <w:rsid w:val="0086797A"/>
    <w:rsid w:val="00870312"/>
    <w:rsid w:val="00870492"/>
    <w:rsid w:val="008707AC"/>
    <w:rsid w:val="00872E28"/>
    <w:rsid w:val="00872FCF"/>
    <w:rsid w:val="00873E07"/>
    <w:rsid w:val="00873E74"/>
    <w:rsid w:val="00876391"/>
    <w:rsid w:val="008773AF"/>
    <w:rsid w:val="0087758D"/>
    <w:rsid w:val="00877A7E"/>
    <w:rsid w:val="00880AA0"/>
    <w:rsid w:val="00880E23"/>
    <w:rsid w:val="008810B3"/>
    <w:rsid w:val="0088151C"/>
    <w:rsid w:val="00881543"/>
    <w:rsid w:val="008817D9"/>
    <w:rsid w:val="008819A5"/>
    <w:rsid w:val="00882EDF"/>
    <w:rsid w:val="00883112"/>
    <w:rsid w:val="0088344B"/>
    <w:rsid w:val="008837CA"/>
    <w:rsid w:val="00883A84"/>
    <w:rsid w:val="00883D8A"/>
    <w:rsid w:val="008857EC"/>
    <w:rsid w:val="00886913"/>
    <w:rsid w:val="00886F39"/>
    <w:rsid w:val="008878C5"/>
    <w:rsid w:val="00887AEB"/>
    <w:rsid w:val="008913C1"/>
    <w:rsid w:val="00891566"/>
    <w:rsid w:val="00891B37"/>
    <w:rsid w:val="00891E54"/>
    <w:rsid w:val="0089221B"/>
    <w:rsid w:val="00893270"/>
    <w:rsid w:val="00893E77"/>
    <w:rsid w:val="00893F70"/>
    <w:rsid w:val="008943C6"/>
    <w:rsid w:val="0089537A"/>
    <w:rsid w:val="00895B68"/>
    <w:rsid w:val="008968A8"/>
    <w:rsid w:val="0089699F"/>
    <w:rsid w:val="0089776F"/>
    <w:rsid w:val="00897DDA"/>
    <w:rsid w:val="00897FE8"/>
    <w:rsid w:val="008A03C4"/>
    <w:rsid w:val="008A0552"/>
    <w:rsid w:val="008A07BB"/>
    <w:rsid w:val="008A1336"/>
    <w:rsid w:val="008A26F4"/>
    <w:rsid w:val="008A2D78"/>
    <w:rsid w:val="008A33B8"/>
    <w:rsid w:val="008A376A"/>
    <w:rsid w:val="008A3A25"/>
    <w:rsid w:val="008A49B6"/>
    <w:rsid w:val="008A502C"/>
    <w:rsid w:val="008A67C7"/>
    <w:rsid w:val="008A7317"/>
    <w:rsid w:val="008B0785"/>
    <w:rsid w:val="008B1ED5"/>
    <w:rsid w:val="008B2019"/>
    <w:rsid w:val="008B2B66"/>
    <w:rsid w:val="008B32CE"/>
    <w:rsid w:val="008B33A6"/>
    <w:rsid w:val="008B3F12"/>
    <w:rsid w:val="008B3F1B"/>
    <w:rsid w:val="008B4B63"/>
    <w:rsid w:val="008B63D9"/>
    <w:rsid w:val="008B6B47"/>
    <w:rsid w:val="008B74C6"/>
    <w:rsid w:val="008C0B58"/>
    <w:rsid w:val="008C28F9"/>
    <w:rsid w:val="008C2AF7"/>
    <w:rsid w:val="008C3813"/>
    <w:rsid w:val="008C383D"/>
    <w:rsid w:val="008C5040"/>
    <w:rsid w:val="008C59EE"/>
    <w:rsid w:val="008C5AC6"/>
    <w:rsid w:val="008C6077"/>
    <w:rsid w:val="008C7978"/>
    <w:rsid w:val="008D0075"/>
    <w:rsid w:val="008D072F"/>
    <w:rsid w:val="008D0BA0"/>
    <w:rsid w:val="008D2072"/>
    <w:rsid w:val="008D223E"/>
    <w:rsid w:val="008D25B6"/>
    <w:rsid w:val="008D4563"/>
    <w:rsid w:val="008D5754"/>
    <w:rsid w:val="008D57B4"/>
    <w:rsid w:val="008D6077"/>
    <w:rsid w:val="008D66B9"/>
    <w:rsid w:val="008D6AB7"/>
    <w:rsid w:val="008D7649"/>
    <w:rsid w:val="008D7BC9"/>
    <w:rsid w:val="008E14EE"/>
    <w:rsid w:val="008E1516"/>
    <w:rsid w:val="008E19AA"/>
    <w:rsid w:val="008E2EB5"/>
    <w:rsid w:val="008E3104"/>
    <w:rsid w:val="008E3C92"/>
    <w:rsid w:val="008E3EB1"/>
    <w:rsid w:val="008E4119"/>
    <w:rsid w:val="008E47B1"/>
    <w:rsid w:val="008E5353"/>
    <w:rsid w:val="008E5AF4"/>
    <w:rsid w:val="008E5C1C"/>
    <w:rsid w:val="008E5FC1"/>
    <w:rsid w:val="008E63EC"/>
    <w:rsid w:val="008E6B66"/>
    <w:rsid w:val="008E6E9B"/>
    <w:rsid w:val="008E7131"/>
    <w:rsid w:val="008E75FC"/>
    <w:rsid w:val="008E790D"/>
    <w:rsid w:val="008F0433"/>
    <w:rsid w:val="008F0C02"/>
    <w:rsid w:val="008F18E5"/>
    <w:rsid w:val="008F2CD7"/>
    <w:rsid w:val="008F37ED"/>
    <w:rsid w:val="008F4E28"/>
    <w:rsid w:val="008F50C0"/>
    <w:rsid w:val="008F52A3"/>
    <w:rsid w:val="008F5698"/>
    <w:rsid w:val="008F598A"/>
    <w:rsid w:val="008F5CF9"/>
    <w:rsid w:val="008F5D81"/>
    <w:rsid w:val="008F7445"/>
    <w:rsid w:val="0090037B"/>
    <w:rsid w:val="00900766"/>
    <w:rsid w:val="009014E6"/>
    <w:rsid w:val="009015BF"/>
    <w:rsid w:val="009022C8"/>
    <w:rsid w:val="009028C7"/>
    <w:rsid w:val="00903017"/>
    <w:rsid w:val="009030A8"/>
    <w:rsid w:val="009045D9"/>
    <w:rsid w:val="00905731"/>
    <w:rsid w:val="00906273"/>
    <w:rsid w:val="00906F57"/>
    <w:rsid w:val="00910DA9"/>
    <w:rsid w:val="009116CD"/>
    <w:rsid w:val="00911859"/>
    <w:rsid w:val="009120A0"/>
    <w:rsid w:val="00913049"/>
    <w:rsid w:val="0091328C"/>
    <w:rsid w:val="009134D0"/>
    <w:rsid w:val="009136EB"/>
    <w:rsid w:val="0091410C"/>
    <w:rsid w:val="009141E6"/>
    <w:rsid w:val="00914382"/>
    <w:rsid w:val="0091559E"/>
    <w:rsid w:val="00915E9C"/>
    <w:rsid w:val="00916502"/>
    <w:rsid w:val="00916D23"/>
    <w:rsid w:val="00916D98"/>
    <w:rsid w:val="009171E9"/>
    <w:rsid w:val="00917A51"/>
    <w:rsid w:val="00920653"/>
    <w:rsid w:val="0092148B"/>
    <w:rsid w:val="00921C72"/>
    <w:rsid w:val="0092223A"/>
    <w:rsid w:val="00922924"/>
    <w:rsid w:val="00922D68"/>
    <w:rsid w:val="00923C53"/>
    <w:rsid w:val="0092510D"/>
    <w:rsid w:val="009254F2"/>
    <w:rsid w:val="00926B00"/>
    <w:rsid w:val="00926D85"/>
    <w:rsid w:val="00927523"/>
    <w:rsid w:val="009303B8"/>
    <w:rsid w:val="00930ACB"/>
    <w:rsid w:val="009312EB"/>
    <w:rsid w:val="009319E6"/>
    <w:rsid w:val="0093236C"/>
    <w:rsid w:val="00932B18"/>
    <w:rsid w:val="00932E05"/>
    <w:rsid w:val="00932FFB"/>
    <w:rsid w:val="009336D0"/>
    <w:rsid w:val="00933A2A"/>
    <w:rsid w:val="00934E9F"/>
    <w:rsid w:val="0093604D"/>
    <w:rsid w:val="0093710E"/>
    <w:rsid w:val="00937CA2"/>
    <w:rsid w:val="00940190"/>
    <w:rsid w:val="00940EAF"/>
    <w:rsid w:val="0094168E"/>
    <w:rsid w:val="00941A10"/>
    <w:rsid w:val="00941D86"/>
    <w:rsid w:val="00941E85"/>
    <w:rsid w:val="00942234"/>
    <w:rsid w:val="0094452C"/>
    <w:rsid w:val="00945C6C"/>
    <w:rsid w:val="0094712F"/>
    <w:rsid w:val="00947BD7"/>
    <w:rsid w:val="00950783"/>
    <w:rsid w:val="009511AD"/>
    <w:rsid w:val="00951ABF"/>
    <w:rsid w:val="00951EA6"/>
    <w:rsid w:val="009521B7"/>
    <w:rsid w:val="00952F0D"/>
    <w:rsid w:val="00953057"/>
    <w:rsid w:val="009531B1"/>
    <w:rsid w:val="00953733"/>
    <w:rsid w:val="00953E5E"/>
    <w:rsid w:val="00954036"/>
    <w:rsid w:val="0095432E"/>
    <w:rsid w:val="00955A08"/>
    <w:rsid w:val="00955C03"/>
    <w:rsid w:val="00956836"/>
    <w:rsid w:val="0095689A"/>
    <w:rsid w:val="009568AE"/>
    <w:rsid w:val="00956AA7"/>
    <w:rsid w:val="0095773F"/>
    <w:rsid w:val="00957D20"/>
    <w:rsid w:val="009601E6"/>
    <w:rsid w:val="009603AF"/>
    <w:rsid w:val="00960F45"/>
    <w:rsid w:val="00961094"/>
    <w:rsid w:val="00961630"/>
    <w:rsid w:val="009629D6"/>
    <w:rsid w:val="00962E0E"/>
    <w:rsid w:val="009635D5"/>
    <w:rsid w:val="009639D7"/>
    <w:rsid w:val="00964692"/>
    <w:rsid w:val="00964831"/>
    <w:rsid w:val="00964CD9"/>
    <w:rsid w:val="0096544B"/>
    <w:rsid w:val="00965896"/>
    <w:rsid w:val="00966AA0"/>
    <w:rsid w:val="00966C06"/>
    <w:rsid w:val="0096729F"/>
    <w:rsid w:val="009672C6"/>
    <w:rsid w:val="00967DB8"/>
    <w:rsid w:val="00967E93"/>
    <w:rsid w:val="00970484"/>
    <w:rsid w:val="0097071C"/>
    <w:rsid w:val="00970C2A"/>
    <w:rsid w:val="009725F3"/>
    <w:rsid w:val="009731CB"/>
    <w:rsid w:val="009736A2"/>
    <w:rsid w:val="009736A5"/>
    <w:rsid w:val="009758E0"/>
    <w:rsid w:val="0097632C"/>
    <w:rsid w:val="00976EDA"/>
    <w:rsid w:val="009777ED"/>
    <w:rsid w:val="00980AAA"/>
    <w:rsid w:val="00980F37"/>
    <w:rsid w:val="00980FB2"/>
    <w:rsid w:val="00981E33"/>
    <w:rsid w:val="009824D5"/>
    <w:rsid w:val="00983A5D"/>
    <w:rsid w:val="0098444D"/>
    <w:rsid w:val="009851A1"/>
    <w:rsid w:val="0098557C"/>
    <w:rsid w:val="00986837"/>
    <w:rsid w:val="0098780C"/>
    <w:rsid w:val="00990211"/>
    <w:rsid w:val="0099092A"/>
    <w:rsid w:val="00990E13"/>
    <w:rsid w:val="00992979"/>
    <w:rsid w:val="00992EA3"/>
    <w:rsid w:val="009948D7"/>
    <w:rsid w:val="009955FD"/>
    <w:rsid w:val="00995DD3"/>
    <w:rsid w:val="00995FEC"/>
    <w:rsid w:val="009A1E12"/>
    <w:rsid w:val="009A2251"/>
    <w:rsid w:val="009A2D40"/>
    <w:rsid w:val="009A36F2"/>
    <w:rsid w:val="009A3F53"/>
    <w:rsid w:val="009A4770"/>
    <w:rsid w:val="009A617C"/>
    <w:rsid w:val="009A63FC"/>
    <w:rsid w:val="009A6C08"/>
    <w:rsid w:val="009A6C15"/>
    <w:rsid w:val="009A6F1C"/>
    <w:rsid w:val="009B29F5"/>
    <w:rsid w:val="009B2BEB"/>
    <w:rsid w:val="009B4B67"/>
    <w:rsid w:val="009B5096"/>
    <w:rsid w:val="009B5575"/>
    <w:rsid w:val="009B5700"/>
    <w:rsid w:val="009B6300"/>
    <w:rsid w:val="009B6A48"/>
    <w:rsid w:val="009B6C9A"/>
    <w:rsid w:val="009B711E"/>
    <w:rsid w:val="009B7EA1"/>
    <w:rsid w:val="009C0E67"/>
    <w:rsid w:val="009C0EF6"/>
    <w:rsid w:val="009C14B1"/>
    <w:rsid w:val="009C1F8E"/>
    <w:rsid w:val="009C3114"/>
    <w:rsid w:val="009C31DF"/>
    <w:rsid w:val="009C3773"/>
    <w:rsid w:val="009C3AC8"/>
    <w:rsid w:val="009C3E2D"/>
    <w:rsid w:val="009C51AE"/>
    <w:rsid w:val="009C545E"/>
    <w:rsid w:val="009C59D7"/>
    <w:rsid w:val="009C6171"/>
    <w:rsid w:val="009C6C2F"/>
    <w:rsid w:val="009C73FF"/>
    <w:rsid w:val="009C7421"/>
    <w:rsid w:val="009D05E6"/>
    <w:rsid w:val="009D241F"/>
    <w:rsid w:val="009D2A98"/>
    <w:rsid w:val="009D4C0F"/>
    <w:rsid w:val="009D526D"/>
    <w:rsid w:val="009D60B6"/>
    <w:rsid w:val="009D6635"/>
    <w:rsid w:val="009D6FD5"/>
    <w:rsid w:val="009D7B56"/>
    <w:rsid w:val="009E08C3"/>
    <w:rsid w:val="009E18FC"/>
    <w:rsid w:val="009E2455"/>
    <w:rsid w:val="009E2995"/>
    <w:rsid w:val="009E2D8B"/>
    <w:rsid w:val="009E4E5F"/>
    <w:rsid w:val="009E52C7"/>
    <w:rsid w:val="009E5D21"/>
    <w:rsid w:val="009E7FEB"/>
    <w:rsid w:val="009F0CB7"/>
    <w:rsid w:val="009F2DD4"/>
    <w:rsid w:val="009F2FF4"/>
    <w:rsid w:val="009F32AF"/>
    <w:rsid w:val="009F39EA"/>
    <w:rsid w:val="009F3BAF"/>
    <w:rsid w:val="009F3E12"/>
    <w:rsid w:val="009F4C9F"/>
    <w:rsid w:val="009F59A0"/>
    <w:rsid w:val="009F6AF8"/>
    <w:rsid w:val="009F6BD0"/>
    <w:rsid w:val="009F6FAB"/>
    <w:rsid w:val="00A00723"/>
    <w:rsid w:val="00A007C6"/>
    <w:rsid w:val="00A01B33"/>
    <w:rsid w:val="00A02ACD"/>
    <w:rsid w:val="00A02C04"/>
    <w:rsid w:val="00A05559"/>
    <w:rsid w:val="00A06BDE"/>
    <w:rsid w:val="00A1017A"/>
    <w:rsid w:val="00A107EE"/>
    <w:rsid w:val="00A11131"/>
    <w:rsid w:val="00A1297E"/>
    <w:rsid w:val="00A13244"/>
    <w:rsid w:val="00A15C9E"/>
    <w:rsid w:val="00A20B10"/>
    <w:rsid w:val="00A213EB"/>
    <w:rsid w:val="00A21A61"/>
    <w:rsid w:val="00A21DB4"/>
    <w:rsid w:val="00A21F8C"/>
    <w:rsid w:val="00A221DD"/>
    <w:rsid w:val="00A22970"/>
    <w:rsid w:val="00A22FCB"/>
    <w:rsid w:val="00A23295"/>
    <w:rsid w:val="00A24349"/>
    <w:rsid w:val="00A254FD"/>
    <w:rsid w:val="00A27A48"/>
    <w:rsid w:val="00A30201"/>
    <w:rsid w:val="00A303A0"/>
    <w:rsid w:val="00A308DD"/>
    <w:rsid w:val="00A31127"/>
    <w:rsid w:val="00A329CF"/>
    <w:rsid w:val="00A32F57"/>
    <w:rsid w:val="00A33487"/>
    <w:rsid w:val="00A33CE7"/>
    <w:rsid w:val="00A33CF6"/>
    <w:rsid w:val="00A33FE5"/>
    <w:rsid w:val="00A35E98"/>
    <w:rsid w:val="00A4004A"/>
    <w:rsid w:val="00A404DF"/>
    <w:rsid w:val="00A40EFF"/>
    <w:rsid w:val="00A413C4"/>
    <w:rsid w:val="00A41510"/>
    <w:rsid w:val="00A418C6"/>
    <w:rsid w:val="00A41AD4"/>
    <w:rsid w:val="00A41EFC"/>
    <w:rsid w:val="00A42678"/>
    <w:rsid w:val="00A42C23"/>
    <w:rsid w:val="00A42C41"/>
    <w:rsid w:val="00A42CE3"/>
    <w:rsid w:val="00A43DE1"/>
    <w:rsid w:val="00A440F3"/>
    <w:rsid w:val="00A4540D"/>
    <w:rsid w:val="00A45FE9"/>
    <w:rsid w:val="00A46F5C"/>
    <w:rsid w:val="00A50273"/>
    <w:rsid w:val="00A50D9E"/>
    <w:rsid w:val="00A51CE6"/>
    <w:rsid w:val="00A527A3"/>
    <w:rsid w:val="00A52911"/>
    <w:rsid w:val="00A53382"/>
    <w:rsid w:val="00A535B3"/>
    <w:rsid w:val="00A53DCE"/>
    <w:rsid w:val="00A5792D"/>
    <w:rsid w:val="00A57C22"/>
    <w:rsid w:val="00A60785"/>
    <w:rsid w:val="00A60FFB"/>
    <w:rsid w:val="00A61824"/>
    <w:rsid w:val="00A619F3"/>
    <w:rsid w:val="00A619FA"/>
    <w:rsid w:val="00A622CF"/>
    <w:rsid w:val="00A62A5E"/>
    <w:rsid w:val="00A62B1B"/>
    <w:rsid w:val="00A648EB"/>
    <w:rsid w:val="00A65631"/>
    <w:rsid w:val="00A65C83"/>
    <w:rsid w:val="00A66AFF"/>
    <w:rsid w:val="00A66E30"/>
    <w:rsid w:val="00A67AF2"/>
    <w:rsid w:val="00A7108E"/>
    <w:rsid w:val="00A72F26"/>
    <w:rsid w:val="00A73C19"/>
    <w:rsid w:val="00A73E93"/>
    <w:rsid w:val="00A74088"/>
    <w:rsid w:val="00A74409"/>
    <w:rsid w:val="00A7468A"/>
    <w:rsid w:val="00A7643D"/>
    <w:rsid w:val="00A7685E"/>
    <w:rsid w:val="00A771D3"/>
    <w:rsid w:val="00A77355"/>
    <w:rsid w:val="00A77750"/>
    <w:rsid w:val="00A77CC1"/>
    <w:rsid w:val="00A77D60"/>
    <w:rsid w:val="00A77E8C"/>
    <w:rsid w:val="00A80B6F"/>
    <w:rsid w:val="00A81DAA"/>
    <w:rsid w:val="00A82594"/>
    <w:rsid w:val="00A83DF3"/>
    <w:rsid w:val="00A84A1B"/>
    <w:rsid w:val="00A84E88"/>
    <w:rsid w:val="00A85A03"/>
    <w:rsid w:val="00A86556"/>
    <w:rsid w:val="00A86F6D"/>
    <w:rsid w:val="00A870FE"/>
    <w:rsid w:val="00A92173"/>
    <w:rsid w:val="00A92442"/>
    <w:rsid w:val="00A92752"/>
    <w:rsid w:val="00A9280D"/>
    <w:rsid w:val="00A94CC3"/>
    <w:rsid w:val="00A94CFF"/>
    <w:rsid w:val="00A94E5B"/>
    <w:rsid w:val="00A95445"/>
    <w:rsid w:val="00A9551C"/>
    <w:rsid w:val="00A95A0B"/>
    <w:rsid w:val="00A95A71"/>
    <w:rsid w:val="00A95B12"/>
    <w:rsid w:val="00A977C6"/>
    <w:rsid w:val="00A979E9"/>
    <w:rsid w:val="00AA005B"/>
    <w:rsid w:val="00AA09FD"/>
    <w:rsid w:val="00AA0BB4"/>
    <w:rsid w:val="00AA113F"/>
    <w:rsid w:val="00AA19DC"/>
    <w:rsid w:val="00AA235C"/>
    <w:rsid w:val="00AA2F62"/>
    <w:rsid w:val="00AA62E2"/>
    <w:rsid w:val="00AA66E7"/>
    <w:rsid w:val="00AA6FCF"/>
    <w:rsid w:val="00AA7253"/>
    <w:rsid w:val="00AA74A5"/>
    <w:rsid w:val="00AA7CB5"/>
    <w:rsid w:val="00AA7EAE"/>
    <w:rsid w:val="00AB0442"/>
    <w:rsid w:val="00AB158E"/>
    <w:rsid w:val="00AB18F7"/>
    <w:rsid w:val="00AB1ED5"/>
    <w:rsid w:val="00AB208F"/>
    <w:rsid w:val="00AB2580"/>
    <w:rsid w:val="00AB3C55"/>
    <w:rsid w:val="00AB5387"/>
    <w:rsid w:val="00AB5626"/>
    <w:rsid w:val="00AB5F3C"/>
    <w:rsid w:val="00AB5F7C"/>
    <w:rsid w:val="00AB7813"/>
    <w:rsid w:val="00AC0F05"/>
    <w:rsid w:val="00AC1880"/>
    <w:rsid w:val="00AC1E1C"/>
    <w:rsid w:val="00AC3B1C"/>
    <w:rsid w:val="00AC4952"/>
    <w:rsid w:val="00AC4B2E"/>
    <w:rsid w:val="00AC4E6D"/>
    <w:rsid w:val="00AC608D"/>
    <w:rsid w:val="00AC7399"/>
    <w:rsid w:val="00AD0962"/>
    <w:rsid w:val="00AD1169"/>
    <w:rsid w:val="00AD19CE"/>
    <w:rsid w:val="00AD1E9E"/>
    <w:rsid w:val="00AD41E4"/>
    <w:rsid w:val="00AD4284"/>
    <w:rsid w:val="00AD58FE"/>
    <w:rsid w:val="00AD5C53"/>
    <w:rsid w:val="00AD612D"/>
    <w:rsid w:val="00AD7CD5"/>
    <w:rsid w:val="00AE07E9"/>
    <w:rsid w:val="00AE08CA"/>
    <w:rsid w:val="00AE0F1E"/>
    <w:rsid w:val="00AE3D8E"/>
    <w:rsid w:val="00AE4469"/>
    <w:rsid w:val="00AE4540"/>
    <w:rsid w:val="00AE4C72"/>
    <w:rsid w:val="00AE5604"/>
    <w:rsid w:val="00AE569F"/>
    <w:rsid w:val="00AE56E5"/>
    <w:rsid w:val="00AE673D"/>
    <w:rsid w:val="00AE75CC"/>
    <w:rsid w:val="00AF1B61"/>
    <w:rsid w:val="00AF1E1F"/>
    <w:rsid w:val="00AF2860"/>
    <w:rsid w:val="00AF2A79"/>
    <w:rsid w:val="00AF3166"/>
    <w:rsid w:val="00AF41A6"/>
    <w:rsid w:val="00AF42B7"/>
    <w:rsid w:val="00AF4749"/>
    <w:rsid w:val="00AF4DAA"/>
    <w:rsid w:val="00AF7396"/>
    <w:rsid w:val="00AF748C"/>
    <w:rsid w:val="00B00D9C"/>
    <w:rsid w:val="00B00E1C"/>
    <w:rsid w:val="00B0113D"/>
    <w:rsid w:val="00B01306"/>
    <w:rsid w:val="00B01AC5"/>
    <w:rsid w:val="00B027D1"/>
    <w:rsid w:val="00B0297A"/>
    <w:rsid w:val="00B02C9C"/>
    <w:rsid w:val="00B03757"/>
    <w:rsid w:val="00B04D1B"/>
    <w:rsid w:val="00B0518C"/>
    <w:rsid w:val="00B05F00"/>
    <w:rsid w:val="00B05F98"/>
    <w:rsid w:val="00B06760"/>
    <w:rsid w:val="00B077C8"/>
    <w:rsid w:val="00B102FF"/>
    <w:rsid w:val="00B104DE"/>
    <w:rsid w:val="00B10A2C"/>
    <w:rsid w:val="00B10CB4"/>
    <w:rsid w:val="00B110D6"/>
    <w:rsid w:val="00B11211"/>
    <w:rsid w:val="00B12596"/>
    <w:rsid w:val="00B13479"/>
    <w:rsid w:val="00B160F6"/>
    <w:rsid w:val="00B16192"/>
    <w:rsid w:val="00B17CCC"/>
    <w:rsid w:val="00B17D8F"/>
    <w:rsid w:val="00B217ED"/>
    <w:rsid w:val="00B2189B"/>
    <w:rsid w:val="00B2275B"/>
    <w:rsid w:val="00B23123"/>
    <w:rsid w:val="00B2364B"/>
    <w:rsid w:val="00B23AED"/>
    <w:rsid w:val="00B25292"/>
    <w:rsid w:val="00B25FA5"/>
    <w:rsid w:val="00B261B8"/>
    <w:rsid w:val="00B265D4"/>
    <w:rsid w:val="00B26623"/>
    <w:rsid w:val="00B2673C"/>
    <w:rsid w:val="00B26BB5"/>
    <w:rsid w:val="00B2718A"/>
    <w:rsid w:val="00B31FCC"/>
    <w:rsid w:val="00B3364B"/>
    <w:rsid w:val="00B343B4"/>
    <w:rsid w:val="00B3722F"/>
    <w:rsid w:val="00B37837"/>
    <w:rsid w:val="00B4051A"/>
    <w:rsid w:val="00B40D3B"/>
    <w:rsid w:val="00B40E50"/>
    <w:rsid w:val="00B412A4"/>
    <w:rsid w:val="00B416DF"/>
    <w:rsid w:val="00B41BEB"/>
    <w:rsid w:val="00B41E0F"/>
    <w:rsid w:val="00B42A98"/>
    <w:rsid w:val="00B42D28"/>
    <w:rsid w:val="00B4367A"/>
    <w:rsid w:val="00B44E63"/>
    <w:rsid w:val="00B44EB5"/>
    <w:rsid w:val="00B45EF4"/>
    <w:rsid w:val="00B51EF6"/>
    <w:rsid w:val="00B52DE6"/>
    <w:rsid w:val="00B52F69"/>
    <w:rsid w:val="00B53E71"/>
    <w:rsid w:val="00B53FC8"/>
    <w:rsid w:val="00B55E0A"/>
    <w:rsid w:val="00B561E0"/>
    <w:rsid w:val="00B566EE"/>
    <w:rsid w:val="00B57709"/>
    <w:rsid w:val="00B57CB2"/>
    <w:rsid w:val="00B61272"/>
    <w:rsid w:val="00B61676"/>
    <w:rsid w:val="00B61E0A"/>
    <w:rsid w:val="00B627A4"/>
    <w:rsid w:val="00B62F91"/>
    <w:rsid w:val="00B631DA"/>
    <w:rsid w:val="00B638F6"/>
    <w:rsid w:val="00B63A6C"/>
    <w:rsid w:val="00B642F8"/>
    <w:rsid w:val="00B65197"/>
    <w:rsid w:val="00B65BB0"/>
    <w:rsid w:val="00B65FA0"/>
    <w:rsid w:val="00B664B1"/>
    <w:rsid w:val="00B66532"/>
    <w:rsid w:val="00B66A0B"/>
    <w:rsid w:val="00B66F8F"/>
    <w:rsid w:val="00B6724E"/>
    <w:rsid w:val="00B6787C"/>
    <w:rsid w:val="00B67D4E"/>
    <w:rsid w:val="00B707A4"/>
    <w:rsid w:val="00B709C9"/>
    <w:rsid w:val="00B71E05"/>
    <w:rsid w:val="00B729AC"/>
    <w:rsid w:val="00B735D2"/>
    <w:rsid w:val="00B73A9D"/>
    <w:rsid w:val="00B74527"/>
    <w:rsid w:val="00B75742"/>
    <w:rsid w:val="00B75D2B"/>
    <w:rsid w:val="00B763C9"/>
    <w:rsid w:val="00B77122"/>
    <w:rsid w:val="00B772FF"/>
    <w:rsid w:val="00B77A93"/>
    <w:rsid w:val="00B77F87"/>
    <w:rsid w:val="00B81372"/>
    <w:rsid w:val="00B82221"/>
    <w:rsid w:val="00B8260B"/>
    <w:rsid w:val="00B82AC2"/>
    <w:rsid w:val="00B831C5"/>
    <w:rsid w:val="00B834BB"/>
    <w:rsid w:val="00B83C3B"/>
    <w:rsid w:val="00B84873"/>
    <w:rsid w:val="00B86DD4"/>
    <w:rsid w:val="00B87449"/>
    <w:rsid w:val="00B876E3"/>
    <w:rsid w:val="00B90968"/>
    <w:rsid w:val="00B91619"/>
    <w:rsid w:val="00B94E5F"/>
    <w:rsid w:val="00B94F3C"/>
    <w:rsid w:val="00B95533"/>
    <w:rsid w:val="00B95D99"/>
    <w:rsid w:val="00B96155"/>
    <w:rsid w:val="00B96DB1"/>
    <w:rsid w:val="00B97495"/>
    <w:rsid w:val="00B97D57"/>
    <w:rsid w:val="00BA0D74"/>
    <w:rsid w:val="00BA0DB7"/>
    <w:rsid w:val="00BA1155"/>
    <w:rsid w:val="00BA194E"/>
    <w:rsid w:val="00BA2440"/>
    <w:rsid w:val="00BA2933"/>
    <w:rsid w:val="00BA2BB8"/>
    <w:rsid w:val="00BA2D7A"/>
    <w:rsid w:val="00BA31E7"/>
    <w:rsid w:val="00BA3C6C"/>
    <w:rsid w:val="00BA3F59"/>
    <w:rsid w:val="00BA44F6"/>
    <w:rsid w:val="00BA55AC"/>
    <w:rsid w:val="00BA5DF0"/>
    <w:rsid w:val="00BA68DB"/>
    <w:rsid w:val="00BA6E90"/>
    <w:rsid w:val="00BA6FB9"/>
    <w:rsid w:val="00BA70E2"/>
    <w:rsid w:val="00BA711B"/>
    <w:rsid w:val="00BB1D4E"/>
    <w:rsid w:val="00BB3057"/>
    <w:rsid w:val="00BB3B5B"/>
    <w:rsid w:val="00BB427C"/>
    <w:rsid w:val="00BB45AB"/>
    <w:rsid w:val="00BB4D08"/>
    <w:rsid w:val="00BB6F9A"/>
    <w:rsid w:val="00BB757F"/>
    <w:rsid w:val="00BC0FFD"/>
    <w:rsid w:val="00BC17E6"/>
    <w:rsid w:val="00BC4E7B"/>
    <w:rsid w:val="00BC6BDC"/>
    <w:rsid w:val="00BC6C68"/>
    <w:rsid w:val="00BC79FB"/>
    <w:rsid w:val="00BC7ACC"/>
    <w:rsid w:val="00BD1B32"/>
    <w:rsid w:val="00BD25BC"/>
    <w:rsid w:val="00BD3497"/>
    <w:rsid w:val="00BD4533"/>
    <w:rsid w:val="00BD5A34"/>
    <w:rsid w:val="00BD5AEB"/>
    <w:rsid w:val="00BD5B54"/>
    <w:rsid w:val="00BD740A"/>
    <w:rsid w:val="00BD7E5F"/>
    <w:rsid w:val="00BD7E8E"/>
    <w:rsid w:val="00BE0FF1"/>
    <w:rsid w:val="00BE1CC3"/>
    <w:rsid w:val="00BE1F12"/>
    <w:rsid w:val="00BE32D6"/>
    <w:rsid w:val="00BE367F"/>
    <w:rsid w:val="00BE5222"/>
    <w:rsid w:val="00BE5488"/>
    <w:rsid w:val="00BE699E"/>
    <w:rsid w:val="00BE6EA6"/>
    <w:rsid w:val="00BE7237"/>
    <w:rsid w:val="00BE79F3"/>
    <w:rsid w:val="00BE7D2B"/>
    <w:rsid w:val="00BF104A"/>
    <w:rsid w:val="00BF16D9"/>
    <w:rsid w:val="00BF1894"/>
    <w:rsid w:val="00BF1C70"/>
    <w:rsid w:val="00BF2E23"/>
    <w:rsid w:val="00BF54C7"/>
    <w:rsid w:val="00BF5610"/>
    <w:rsid w:val="00BF5745"/>
    <w:rsid w:val="00BF5CC8"/>
    <w:rsid w:val="00BF5E8D"/>
    <w:rsid w:val="00BF641A"/>
    <w:rsid w:val="00BF6DBE"/>
    <w:rsid w:val="00BF7D01"/>
    <w:rsid w:val="00C00B8D"/>
    <w:rsid w:val="00C010FA"/>
    <w:rsid w:val="00C01183"/>
    <w:rsid w:val="00C0145E"/>
    <w:rsid w:val="00C026CC"/>
    <w:rsid w:val="00C02DF7"/>
    <w:rsid w:val="00C03953"/>
    <w:rsid w:val="00C041F7"/>
    <w:rsid w:val="00C04427"/>
    <w:rsid w:val="00C0447D"/>
    <w:rsid w:val="00C04C2A"/>
    <w:rsid w:val="00C0593D"/>
    <w:rsid w:val="00C05BB8"/>
    <w:rsid w:val="00C065C0"/>
    <w:rsid w:val="00C06F64"/>
    <w:rsid w:val="00C1030B"/>
    <w:rsid w:val="00C10B95"/>
    <w:rsid w:val="00C111A6"/>
    <w:rsid w:val="00C11512"/>
    <w:rsid w:val="00C119CD"/>
    <w:rsid w:val="00C11BBF"/>
    <w:rsid w:val="00C12CED"/>
    <w:rsid w:val="00C12E22"/>
    <w:rsid w:val="00C13648"/>
    <w:rsid w:val="00C138EC"/>
    <w:rsid w:val="00C139CE"/>
    <w:rsid w:val="00C14572"/>
    <w:rsid w:val="00C14BD5"/>
    <w:rsid w:val="00C15135"/>
    <w:rsid w:val="00C1557A"/>
    <w:rsid w:val="00C168D7"/>
    <w:rsid w:val="00C21F68"/>
    <w:rsid w:val="00C221C3"/>
    <w:rsid w:val="00C2346B"/>
    <w:rsid w:val="00C238A2"/>
    <w:rsid w:val="00C23CB7"/>
    <w:rsid w:val="00C25209"/>
    <w:rsid w:val="00C252BE"/>
    <w:rsid w:val="00C254DA"/>
    <w:rsid w:val="00C26B0A"/>
    <w:rsid w:val="00C279A5"/>
    <w:rsid w:val="00C27E0E"/>
    <w:rsid w:val="00C3010C"/>
    <w:rsid w:val="00C309C5"/>
    <w:rsid w:val="00C30AC5"/>
    <w:rsid w:val="00C310C6"/>
    <w:rsid w:val="00C315E8"/>
    <w:rsid w:val="00C32448"/>
    <w:rsid w:val="00C329B3"/>
    <w:rsid w:val="00C32A7D"/>
    <w:rsid w:val="00C32CB2"/>
    <w:rsid w:val="00C330F5"/>
    <w:rsid w:val="00C3348F"/>
    <w:rsid w:val="00C338E4"/>
    <w:rsid w:val="00C341ED"/>
    <w:rsid w:val="00C34279"/>
    <w:rsid w:val="00C34C75"/>
    <w:rsid w:val="00C37DFF"/>
    <w:rsid w:val="00C40A8C"/>
    <w:rsid w:val="00C42CE3"/>
    <w:rsid w:val="00C42D37"/>
    <w:rsid w:val="00C431D9"/>
    <w:rsid w:val="00C437D2"/>
    <w:rsid w:val="00C4393E"/>
    <w:rsid w:val="00C43CE8"/>
    <w:rsid w:val="00C43F4F"/>
    <w:rsid w:val="00C44440"/>
    <w:rsid w:val="00C4520D"/>
    <w:rsid w:val="00C50B84"/>
    <w:rsid w:val="00C5108A"/>
    <w:rsid w:val="00C512A4"/>
    <w:rsid w:val="00C52411"/>
    <w:rsid w:val="00C5246A"/>
    <w:rsid w:val="00C52E63"/>
    <w:rsid w:val="00C53802"/>
    <w:rsid w:val="00C53D8A"/>
    <w:rsid w:val="00C54840"/>
    <w:rsid w:val="00C55AE5"/>
    <w:rsid w:val="00C56FFE"/>
    <w:rsid w:val="00C5702F"/>
    <w:rsid w:val="00C577B3"/>
    <w:rsid w:val="00C60E87"/>
    <w:rsid w:val="00C6137E"/>
    <w:rsid w:val="00C61C75"/>
    <w:rsid w:val="00C65E2C"/>
    <w:rsid w:val="00C6620A"/>
    <w:rsid w:val="00C662D5"/>
    <w:rsid w:val="00C668F4"/>
    <w:rsid w:val="00C6710D"/>
    <w:rsid w:val="00C672B0"/>
    <w:rsid w:val="00C67EEC"/>
    <w:rsid w:val="00C70EBC"/>
    <w:rsid w:val="00C7126E"/>
    <w:rsid w:val="00C71B8D"/>
    <w:rsid w:val="00C728AB"/>
    <w:rsid w:val="00C735A0"/>
    <w:rsid w:val="00C743B7"/>
    <w:rsid w:val="00C74DAA"/>
    <w:rsid w:val="00C758FF"/>
    <w:rsid w:val="00C76B49"/>
    <w:rsid w:val="00C77D09"/>
    <w:rsid w:val="00C803F1"/>
    <w:rsid w:val="00C8098E"/>
    <w:rsid w:val="00C80FE3"/>
    <w:rsid w:val="00C81073"/>
    <w:rsid w:val="00C81CEB"/>
    <w:rsid w:val="00C81ED3"/>
    <w:rsid w:val="00C82437"/>
    <w:rsid w:val="00C83E9D"/>
    <w:rsid w:val="00C84176"/>
    <w:rsid w:val="00C84671"/>
    <w:rsid w:val="00C85631"/>
    <w:rsid w:val="00C86544"/>
    <w:rsid w:val="00C8748E"/>
    <w:rsid w:val="00C877E3"/>
    <w:rsid w:val="00C879A0"/>
    <w:rsid w:val="00C90947"/>
    <w:rsid w:val="00C91937"/>
    <w:rsid w:val="00C926E9"/>
    <w:rsid w:val="00C935EC"/>
    <w:rsid w:val="00C9475D"/>
    <w:rsid w:val="00C94D74"/>
    <w:rsid w:val="00C951B4"/>
    <w:rsid w:val="00C9567E"/>
    <w:rsid w:val="00C95E64"/>
    <w:rsid w:val="00C964B2"/>
    <w:rsid w:val="00C96AAD"/>
    <w:rsid w:val="00C974A6"/>
    <w:rsid w:val="00CA0ED8"/>
    <w:rsid w:val="00CA160E"/>
    <w:rsid w:val="00CA1989"/>
    <w:rsid w:val="00CA2848"/>
    <w:rsid w:val="00CA29AB"/>
    <w:rsid w:val="00CA3F25"/>
    <w:rsid w:val="00CA4670"/>
    <w:rsid w:val="00CA4D85"/>
    <w:rsid w:val="00CA53C4"/>
    <w:rsid w:val="00CA54B8"/>
    <w:rsid w:val="00CA556C"/>
    <w:rsid w:val="00CA60CC"/>
    <w:rsid w:val="00CB13BD"/>
    <w:rsid w:val="00CB1AEE"/>
    <w:rsid w:val="00CB4601"/>
    <w:rsid w:val="00CB49EA"/>
    <w:rsid w:val="00CB4BC2"/>
    <w:rsid w:val="00CB4E5E"/>
    <w:rsid w:val="00CB77B6"/>
    <w:rsid w:val="00CC1BC3"/>
    <w:rsid w:val="00CC1D8F"/>
    <w:rsid w:val="00CC25DD"/>
    <w:rsid w:val="00CC277C"/>
    <w:rsid w:val="00CC2E40"/>
    <w:rsid w:val="00CC3856"/>
    <w:rsid w:val="00CC3B2E"/>
    <w:rsid w:val="00CC3F61"/>
    <w:rsid w:val="00CC4682"/>
    <w:rsid w:val="00CC46B7"/>
    <w:rsid w:val="00CC4CD3"/>
    <w:rsid w:val="00CC536B"/>
    <w:rsid w:val="00CC554E"/>
    <w:rsid w:val="00CC5B25"/>
    <w:rsid w:val="00CC65AA"/>
    <w:rsid w:val="00CC6D67"/>
    <w:rsid w:val="00CC7868"/>
    <w:rsid w:val="00CC7BD5"/>
    <w:rsid w:val="00CC7CD8"/>
    <w:rsid w:val="00CD09E6"/>
    <w:rsid w:val="00CD17D9"/>
    <w:rsid w:val="00CD1A4C"/>
    <w:rsid w:val="00CD2422"/>
    <w:rsid w:val="00CD2994"/>
    <w:rsid w:val="00CD30CF"/>
    <w:rsid w:val="00CD3872"/>
    <w:rsid w:val="00CD41FB"/>
    <w:rsid w:val="00CD4BD5"/>
    <w:rsid w:val="00CD4D5D"/>
    <w:rsid w:val="00CD50AB"/>
    <w:rsid w:val="00CD58A5"/>
    <w:rsid w:val="00CD5992"/>
    <w:rsid w:val="00CD62E2"/>
    <w:rsid w:val="00CD647B"/>
    <w:rsid w:val="00CD67BF"/>
    <w:rsid w:val="00CE080E"/>
    <w:rsid w:val="00CE0A2A"/>
    <w:rsid w:val="00CE2009"/>
    <w:rsid w:val="00CE276A"/>
    <w:rsid w:val="00CE2E7C"/>
    <w:rsid w:val="00CE30EB"/>
    <w:rsid w:val="00CE3903"/>
    <w:rsid w:val="00CE4071"/>
    <w:rsid w:val="00CE4533"/>
    <w:rsid w:val="00CE523C"/>
    <w:rsid w:val="00CE6C4F"/>
    <w:rsid w:val="00CE7B8A"/>
    <w:rsid w:val="00CF0800"/>
    <w:rsid w:val="00CF0930"/>
    <w:rsid w:val="00CF0D1A"/>
    <w:rsid w:val="00CF21DA"/>
    <w:rsid w:val="00CF27A8"/>
    <w:rsid w:val="00CF2DC4"/>
    <w:rsid w:val="00CF3E2E"/>
    <w:rsid w:val="00CF42B5"/>
    <w:rsid w:val="00CF4A23"/>
    <w:rsid w:val="00CF578F"/>
    <w:rsid w:val="00CF637D"/>
    <w:rsid w:val="00CF6915"/>
    <w:rsid w:val="00CF6BBF"/>
    <w:rsid w:val="00CF6C3E"/>
    <w:rsid w:val="00CF6DB2"/>
    <w:rsid w:val="00CF6F45"/>
    <w:rsid w:val="00CF7572"/>
    <w:rsid w:val="00CF7C98"/>
    <w:rsid w:val="00D00903"/>
    <w:rsid w:val="00D00D57"/>
    <w:rsid w:val="00D0124E"/>
    <w:rsid w:val="00D0143F"/>
    <w:rsid w:val="00D030E9"/>
    <w:rsid w:val="00D03B68"/>
    <w:rsid w:val="00D03CA2"/>
    <w:rsid w:val="00D048C7"/>
    <w:rsid w:val="00D06C63"/>
    <w:rsid w:val="00D077F9"/>
    <w:rsid w:val="00D07898"/>
    <w:rsid w:val="00D106EA"/>
    <w:rsid w:val="00D10B06"/>
    <w:rsid w:val="00D10D04"/>
    <w:rsid w:val="00D10FC5"/>
    <w:rsid w:val="00D111E1"/>
    <w:rsid w:val="00D1139E"/>
    <w:rsid w:val="00D113BA"/>
    <w:rsid w:val="00D11A61"/>
    <w:rsid w:val="00D11BE3"/>
    <w:rsid w:val="00D11FA3"/>
    <w:rsid w:val="00D12945"/>
    <w:rsid w:val="00D12AD2"/>
    <w:rsid w:val="00D12FD2"/>
    <w:rsid w:val="00D1361A"/>
    <w:rsid w:val="00D14D0C"/>
    <w:rsid w:val="00D151FD"/>
    <w:rsid w:val="00D15621"/>
    <w:rsid w:val="00D15B29"/>
    <w:rsid w:val="00D163E8"/>
    <w:rsid w:val="00D166A5"/>
    <w:rsid w:val="00D16CD9"/>
    <w:rsid w:val="00D17355"/>
    <w:rsid w:val="00D17E07"/>
    <w:rsid w:val="00D20731"/>
    <w:rsid w:val="00D21059"/>
    <w:rsid w:val="00D2129C"/>
    <w:rsid w:val="00D2155B"/>
    <w:rsid w:val="00D21797"/>
    <w:rsid w:val="00D22125"/>
    <w:rsid w:val="00D23ADE"/>
    <w:rsid w:val="00D24CE2"/>
    <w:rsid w:val="00D24F4B"/>
    <w:rsid w:val="00D253B8"/>
    <w:rsid w:val="00D25ABF"/>
    <w:rsid w:val="00D265AC"/>
    <w:rsid w:val="00D26915"/>
    <w:rsid w:val="00D2739F"/>
    <w:rsid w:val="00D27ECE"/>
    <w:rsid w:val="00D301BB"/>
    <w:rsid w:val="00D3118D"/>
    <w:rsid w:val="00D3127C"/>
    <w:rsid w:val="00D31393"/>
    <w:rsid w:val="00D31566"/>
    <w:rsid w:val="00D31AD5"/>
    <w:rsid w:val="00D31D4A"/>
    <w:rsid w:val="00D323D8"/>
    <w:rsid w:val="00D327BD"/>
    <w:rsid w:val="00D34601"/>
    <w:rsid w:val="00D3469A"/>
    <w:rsid w:val="00D363CA"/>
    <w:rsid w:val="00D36FFC"/>
    <w:rsid w:val="00D371F7"/>
    <w:rsid w:val="00D37795"/>
    <w:rsid w:val="00D37AB7"/>
    <w:rsid w:val="00D4052B"/>
    <w:rsid w:val="00D40808"/>
    <w:rsid w:val="00D40F97"/>
    <w:rsid w:val="00D4151E"/>
    <w:rsid w:val="00D417F8"/>
    <w:rsid w:val="00D418CB"/>
    <w:rsid w:val="00D41EC1"/>
    <w:rsid w:val="00D4282A"/>
    <w:rsid w:val="00D42EED"/>
    <w:rsid w:val="00D43FA4"/>
    <w:rsid w:val="00D43FFD"/>
    <w:rsid w:val="00D441A7"/>
    <w:rsid w:val="00D44A98"/>
    <w:rsid w:val="00D44BD6"/>
    <w:rsid w:val="00D459CB"/>
    <w:rsid w:val="00D461B4"/>
    <w:rsid w:val="00D4631C"/>
    <w:rsid w:val="00D4635D"/>
    <w:rsid w:val="00D46B77"/>
    <w:rsid w:val="00D52BC4"/>
    <w:rsid w:val="00D52BFF"/>
    <w:rsid w:val="00D538C0"/>
    <w:rsid w:val="00D53DE2"/>
    <w:rsid w:val="00D55279"/>
    <w:rsid w:val="00D55786"/>
    <w:rsid w:val="00D56786"/>
    <w:rsid w:val="00D56BA4"/>
    <w:rsid w:val="00D5707A"/>
    <w:rsid w:val="00D600B1"/>
    <w:rsid w:val="00D60957"/>
    <w:rsid w:val="00D61147"/>
    <w:rsid w:val="00D613EE"/>
    <w:rsid w:val="00D61967"/>
    <w:rsid w:val="00D61BD2"/>
    <w:rsid w:val="00D628B3"/>
    <w:rsid w:val="00D62FF3"/>
    <w:rsid w:val="00D62FF5"/>
    <w:rsid w:val="00D63436"/>
    <w:rsid w:val="00D636DE"/>
    <w:rsid w:val="00D63EA9"/>
    <w:rsid w:val="00D64B8B"/>
    <w:rsid w:val="00D654AE"/>
    <w:rsid w:val="00D65D90"/>
    <w:rsid w:val="00D65EF4"/>
    <w:rsid w:val="00D663AA"/>
    <w:rsid w:val="00D665E8"/>
    <w:rsid w:val="00D668EA"/>
    <w:rsid w:val="00D66B40"/>
    <w:rsid w:val="00D6778E"/>
    <w:rsid w:val="00D67A05"/>
    <w:rsid w:val="00D71C72"/>
    <w:rsid w:val="00D73BE9"/>
    <w:rsid w:val="00D7484C"/>
    <w:rsid w:val="00D74CE3"/>
    <w:rsid w:val="00D74D5D"/>
    <w:rsid w:val="00D75058"/>
    <w:rsid w:val="00D7520C"/>
    <w:rsid w:val="00D7585C"/>
    <w:rsid w:val="00D761B5"/>
    <w:rsid w:val="00D77060"/>
    <w:rsid w:val="00D77CA6"/>
    <w:rsid w:val="00D8028B"/>
    <w:rsid w:val="00D80D39"/>
    <w:rsid w:val="00D80FB6"/>
    <w:rsid w:val="00D8107D"/>
    <w:rsid w:val="00D81782"/>
    <w:rsid w:val="00D818FA"/>
    <w:rsid w:val="00D81B0D"/>
    <w:rsid w:val="00D81E08"/>
    <w:rsid w:val="00D81F51"/>
    <w:rsid w:val="00D8390A"/>
    <w:rsid w:val="00D83B33"/>
    <w:rsid w:val="00D83BEB"/>
    <w:rsid w:val="00D83CFC"/>
    <w:rsid w:val="00D845AB"/>
    <w:rsid w:val="00D85686"/>
    <w:rsid w:val="00D857D9"/>
    <w:rsid w:val="00D86BC4"/>
    <w:rsid w:val="00D877EE"/>
    <w:rsid w:val="00D90476"/>
    <w:rsid w:val="00D90D7F"/>
    <w:rsid w:val="00D90ED2"/>
    <w:rsid w:val="00D912E8"/>
    <w:rsid w:val="00D913EB"/>
    <w:rsid w:val="00D9158F"/>
    <w:rsid w:val="00D925DC"/>
    <w:rsid w:val="00D92695"/>
    <w:rsid w:val="00D92ACA"/>
    <w:rsid w:val="00D92FEC"/>
    <w:rsid w:val="00D94C66"/>
    <w:rsid w:val="00D95863"/>
    <w:rsid w:val="00D96CD5"/>
    <w:rsid w:val="00DA00D4"/>
    <w:rsid w:val="00DA0CA6"/>
    <w:rsid w:val="00DA29D1"/>
    <w:rsid w:val="00DA2A78"/>
    <w:rsid w:val="00DA2BD8"/>
    <w:rsid w:val="00DA2E23"/>
    <w:rsid w:val="00DA30BB"/>
    <w:rsid w:val="00DA352F"/>
    <w:rsid w:val="00DA3550"/>
    <w:rsid w:val="00DA3B0B"/>
    <w:rsid w:val="00DA47E1"/>
    <w:rsid w:val="00DA4946"/>
    <w:rsid w:val="00DA4C4A"/>
    <w:rsid w:val="00DA4D9C"/>
    <w:rsid w:val="00DA56E8"/>
    <w:rsid w:val="00DA59CB"/>
    <w:rsid w:val="00DA7278"/>
    <w:rsid w:val="00DA7AAD"/>
    <w:rsid w:val="00DB039C"/>
    <w:rsid w:val="00DB0442"/>
    <w:rsid w:val="00DB3275"/>
    <w:rsid w:val="00DB4D1C"/>
    <w:rsid w:val="00DB51FF"/>
    <w:rsid w:val="00DB65AA"/>
    <w:rsid w:val="00DB79ED"/>
    <w:rsid w:val="00DC00C6"/>
    <w:rsid w:val="00DC0136"/>
    <w:rsid w:val="00DC136A"/>
    <w:rsid w:val="00DC317E"/>
    <w:rsid w:val="00DC3808"/>
    <w:rsid w:val="00DC4300"/>
    <w:rsid w:val="00DC4898"/>
    <w:rsid w:val="00DC4902"/>
    <w:rsid w:val="00DC5096"/>
    <w:rsid w:val="00DC5343"/>
    <w:rsid w:val="00DC6339"/>
    <w:rsid w:val="00DC6A79"/>
    <w:rsid w:val="00DC6CAA"/>
    <w:rsid w:val="00DC74BE"/>
    <w:rsid w:val="00DC7C92"/>
    <w:rsid w:val="00DC7FE8"/>
    <w:rsid w:val="00DD00CE"/>
    <w:rsid w:val="00DD05D0"/>
    <w:rsid w:val="00DD1618"/>
    <w:rsid w:val="00DD18C5"/>
    <w:rsid w:val="00DD1B74"/>
    <w:rsid w:val="00DD2370"/>
    <w:rsid w:val="00DD291F"/>
    <w:rsid w:val="00DD2DB9"/>
    <w:rsid w:val="00DD2E95"/>
    <w:rsid w:val="00DD3C29"/>
    <w:rsid w:val="00DD44DD"/>
    <w:rsid w:val="00DD4809"/>
    <w:rsid w:val="00DD5006"/>
    <w:rsid w:val="00DD50F9"/>
    <w:rsid w:val="00DD592D"/>
    <w:rsid w:val="00DD6259"/>
    <w:rsid w:val="00DD6A9C"/>
    <w:rsid w:val="00DD7F34"/>
    <w:rsid w:val="00DD7F87"/>
    <w:rsid w:val="00DE0954"/>
    <w:rsid w:val="00DE0C08"/>
    <w:rsid w:val="00DE0C96"/>
    <w:rsid w:val="00DE0C9F"/>
    <w:rsid w:val="00DE2C4E"/>
    <w:rsid w:val="00DE44CE"/>
    <w:rsid w:val="00DE44DE"/>
    <w:rsid w:val="00DE4926"/>
    <w:rsid w:val="00DE4E83"/>
    <w:rsid w:val="00DE5072"/>
    <w:rsid w:val="00DE51DE"/>
    <w:rsid w:val="00DE57CF"/>
    <w:rsid w:val="00DE5FE1"/>
    <w:rsid w:val="00DE6596"/>
    <w:rsid w:val="00DE6F2A"/>
    <w:rsid w:val="00DE6FB7"/>
    <w:rsid w:val="00DE7EBE"/>
    <w:rsid w:val="00DF055C"/>
    <w:rsid w:val="00DF06F3"/>
    <w:rsid w:val="00DF0D1B"/>
    <w:rsid w:val="00DF1987"/>
    <w:rsid w:val="00DF25F9"/>
    <w:rsid w:val="00DF29F2"/>
    <w:rsid w:val="00DF3A22"/>
    <w:rsid w:val="00DF41E1"/>
    <w:rsid w:val="00DF4442"/>
    <w:rsid w:val="00DF48E7"/>
    <w:rsid w:val="00DF49DA"/>
    <w:rsid w:val="00DF4FE9"/>
    <w:rsid w:val="00DF6B60"/>
    <w:rsid w:val="00E008F0"/>
    <w:rsid w:val="00E013CC"/>
    <w:rsid w:val="00E016FD"/>
    <w:rsid w:val="00E04850"/>
    <w:rsid w:val="00E05745"/>
    <w:rsid w:val="00E066C8"/>
    <w:rsid w:val="00E06815"/>
    <w:rsid w:val="00E06BD3"/>
    <w:rsid w:val="00E06D0F"/>
    <w:rsid w:val="00E07D70"/>
    <w:rsid w:val="00E1029F"/>
    <w:rsid w:val="00E10E48"/>
    <w:rsid w:val="00E1291C"/>
    <w:rsid w:val="00E13510"/>
    <w:rsid w:val="00E13B0E"/>
    <w:rsid w:val="00E16ED0"/>
    <w:rsid w:val="00E170ED"/>
    <w:rsid w:val="00E17DEE"/>
    <w:rsid w:val="00E20CC2"/>
    <w:rsid w:val="00E20D3B"/>
    <w:rsid w:val="00E20DD4"/>
    <w:rsid w:val="00E21330"/>
    <w:rsid w:val="00E22471"/>
    <w:rsid w:val="00E23227"/>
    <w:rsid w:val="00E23A9C"/>
    <w:rsid w:val="00E245F3"/>
    <w:rsid w:val="00E24C13"/>
    <w:rsid w:val="00E30B8C"/>
    <w:rsid w:val="00E31417"/>
    <w:rsid w:val="00E336C0"/>
    <w:rsid w:val="00E336FF"/>
    <w:rsid w:val="00E3716D"/>
    <w:rsid w:val="00E417B9"/>
    <w:rsid w:val="00E419E5"/>
    <w:rsid w:val="00E41F70"/>
    <w:rsid w:val="00E43260"/>
    <w:rsid w:val="00E441B6"/>
    <w:rsid w:val="00E443AD"/>
    <w:rsid w:val="00E445EE"/>
    <w:rsid w:val="00E449F9"/>
    <w:rsid w:val="00E45046"/>
    <w:rsid w:val="00E45174"/>
    <w:rsid w:val="00E45FF1"/>
    <w:rsid w:val="00E474B9"/>
    <w:rsid w:val="00E47E99"/>
    <w:rsid w:val="00E508B7"/>
    <w:rsid w:val="00E508C0"/>
    <w:rsid w:val="00E5229C"/>
    <w:rsid w:val="00E52521"/>
    <w:rsid w:val="00E53441"/>
    <w:rsid w:val="00E53903"/>
    <w:rsid w:val="00E54472"/>
    <w:rsid w:val="00E55520"/>
    <w:rsid w:val="00E555BA"/>
    <w:rsid w:val="00E55D7B"/>
    <w:rsid w:val="00E55F42"/>
    <w:rsid w:val="00E56040"/>
    <w:rsid w:val="00E60252"/>
    <w:rsid w:val="00E60958"/>
    <w:rsid w:val="00E61570"/>
    <w:rsid w:val="00E619C5"/>
    <w:rsid w:val="00E6266E"/>
    <w:rsid w:val="00E62834"/>
    <w:rsid w:val="00E62F06"/>
    <w:rsid w:val="00E63C91"/>
    <w:rsid w:val="00E6460C"/>
    <w:rsid w:val="00E65B4D"/>
    <w:rsid w:val="00E670F9"/>
    <w:rsid w:val="00E672F0"/>
    <w:rsid w:val="00E67A7E"/>
    <w:rsid w:val="00E67F67"/>
    <w:rsid w:val="00E709A2"/>
    <w:rsid w:val="00E70FEC"/>
    <w:rsid w:val="00E72BB5"/>
    <w:rsid w:val="00E72EB8"/>
    <w:rsid w:val="00E73A2E"/>
    <w:rsid w:val="00E742C0"/>
    <w:rsid w:val="00E75050"/>
    <w:rsid w:val="00E750D3"/>
    <w:rsid w:val="00E76A5C"/>
    <w:rsid w:val="00E77063"/>
    <w:rsid w:val="00E77411"/>
    <w:rsid w:val="00E77D16"/>
    <w:rsid w:val="00E77F75"/>
    <w:rsid w:val="00E80DEC"/>
    <w:rsid w:val="00E82FE6"/>
    <w:rsid w:val="00E83351"/>
    <w:rsid w:val="00E838E8"/>
    <w:rsid w:val="00E841C0"/>
    <w:rsid w:val="00E85266"/>
    <w:rsid w:val="00E85584"/>
    <w:rsid w:val="00E86518"/>
    <w:rsid w:val="00E86B56"/>
    <w:rsid w:val="00E86CE3"/>
    <w:rsid w:val="00E86F22"/>
    <w:rsid w:val="00E87213"/>
    <w:rsid w:val="00E8743E"/>
    <w:rsid w:val="00E87548"/>
    <w:rsid w:val="00E91DFD"/>
    <w:rsid w:val="00E9277B"/>
    <w:rsid w:val="00E92C4B"/>
    <w:rsid w:val="00E92D01"/>
    <w:rsid w:val="00E93277"/>
    <w:rsid w:val="00E9424F"/>
    <w:rsid w:val="00E94566"/>
    <w:rsid w:val="00E954E9"/>
    <w:rsid w:val="00E970C8"/>
    <w:rsid w:val="00E979A3"/>
    <w:rsid w:val="00E97A68"/>
    <w:rsid w:val="00EA1ADB"/>
    <w:rsid w:val="00EA1DD0"/>
    <w:rsid w:val="00EA2129"/>
    <w:rsid w:val="00EA22C0"/>
    <w:rsid w:val="00EA2494"/>
    <w:rsid w:val="00EA2A5E"/>
    <w:rsid w:val="00EA35DF"/>
    <w:rsid w:val="00EA3966"/>
    <w:rsid w:val="00EA4767"/>
    <w:rsid w:val="00EA4C3B"/>
    <w:rsid w:val="00EA5468"/>
    <w:rsid w:val="00EA5927"/>
    <w:rsid w:val="00EA5A3D"/>
    <w:rsid w:val="00EA61D6"/>
    <w:rsid w:val="00EA6788"/>
    <w:rsid w:val="00EB012C"/>
    <w:rsid w:val="00EB1E5E"/>
    <w:rsid w:val="00EB215F"/>
    <w:rsid w:val="00EB33E5"/>
    <w:rsid w:val="00EB39F5"/>
    <w:rsid w:val="00EB405D"/>
    <w:rsid w:val="00EB428A"/>
    <w:rsid w:val="00EB4331"/>
    <w:rsid w:val="00EB4D6B"/>
    <w:rsid w:val="00EB4FCB"/>
    <w:rsid w:val="00EB61A1"/>
    <w:rsid w:val="00EB7281"/>
    <w:rsid w:val="00EB7952"/>
    <w:rsid w:val="00EC0515"/>
    <w:rsid w:val="00EC0964"/>
    <w:rsid w:val="00EC0D05"/>
    <w:rsid w:val="00EC0E96"/>
    <w:rsid w:val="00EC29BC"/>
    <w:rsid w:val="00EC2EDC"/>
    <w:rsid w:val="00EC3CE4"/>
    <w:rsid w:val="00EC5A2A"/>
    <w:rsid w:val="00EC5EC1"/>
    <w:rsid w:val="00EC62FC"/>
    <w:rsid w:val="00EC6D4C"/>
    <w:rsid w:val="00EC737D"/>
    <w:rsid w:val="00EC7590"/>
    <w:rsid w:val="00EC7D3B"/>
    <w:rsid w:val="00ED0BC0"/>
    <w:rsid w:val="00ED0D84"/>
    <w:rsid w:val="00ED13AD"/>
    <w:rsid w:val="00ED1BA6"/>
    <w:rsid w:val="00ED2735"/>
    <w:rsid w:val="00ED2975"/>
    <w:rsid w:val="00ED2CE0"/>
    <w:rsid w:val="00ED3016"/>
    <w:rsid w:val="00ED47E1"/>
    <w:rsid w:val="00ED4CD3"/>
    <w:rsid w:val="00ED4D40"/>
    <w:rsid w:val="00ED50CC"/>
    <w:rsid w:val="00ED6DD5"/>
    <w:rsid w:val="00EE03EE"/>
    <w:rsid w:val="00EE0608"/>
    <w:rsid w:val="00EE0BF7"/>
    <w:rsid w:val="00EE0E48"/>
    <w:rsid w:val="00EE1533"/>
    <w:rsid w:val="00EE1C3C"/>
    <w:rsid w:val="00EE1D82"/>
    <w:rsid w:val="00EE235E"/>
    <w:rsid w:val="00EE23CD"/>
    <w:rsid w:val="00EE2ACF"/>
    <w:rsid w:val="00EE3D5B"/>
    <w:rsid w:val="00EE3F83"/>
    <w:rsid w:val="00EE4151"/>
    <w:rsid w:val="00EE48BE"/>
    <w:rsid w:val="00EE502A"/>
    <w:rsid w:val="00EE50CC"/>
    <w:rsid w:val="00EE5D8E"/>
    <w:rsid w:val="00EE5F87"/>
    <w:rsid w:val="00EE684D"/>
    <w:rsid w:val="00EE72BB"/>
    <w:rsid w:val="00EE7556"/>
    <w:rsid w:val="00EE7DE6"/>
    <w:rsid w:val="00EE7F4F"/>
    <w:rsid w:val="00EF079A"/>
    <w:rsid w:val="00EF0FB8"/>
    <w:rsid w:val="00EF1FD8"/>
    <w:rsid w:val="00EF22E1"/>
    <w:rsid w:val="00EF259B"/>
    <w:rsid w:val="00EF336F"/>
    <w:rsid w:val="00EF3687"/>
    <w:rsid w:val="00EF3B9C"/>
    <w:rsid w:val="00EF3C26"/>
    <w:rsid w:val="00EF3E22"/>
    <w:rsid w:val="00EF408B"/>
    <w:rsid w:val="00EF4107"/>
    <w:rsid w:val="00EF43B6"/>
    <w:rsid w:val="00EF449A"/>
    <w:rsid w:val="00EF5F34"/>
    <w:rsid w:val="00EF7234"/>
    <w:rsid w:val="00EF7380"/>
    <w:rsid w:val="00F006F3"/>
    <w:rsid w:val="00F00B39"/>
    <w:rsid w:val="00F010C6"/>
    <w:rsid w:val="00F01384"/>
    <w:rsid w:val="00F017FC"/>
    <w:rsid w:val="00F028DB"/>
    <w:rsid w:val="00F02C47"/>
    <w:rsid w:val="00F02CE4"/>
    <w:rsid w:val="00F0344C"/>
    <w:rsid w:val="00F0496B"/>
    <w:rsid w:val="00F05456"/>
    <w:rsid w:val="00F056D9"/>
    <w:rsid w:val="00F07842"/>
    <w:rsid w:val="00F07D99"/>
    <w:rsid w:val="00F10855"/>
    <w:rsid w:val="00F121B8"/>
    <w:rsid w:val="00F12C42"/>
    <w:rsid w:val="00F14347"/>
    <w:rsid w:val="00F16734"/>
    <w:rsid w:val="00F179A3"/>
    <w:rsid w:val="00F20005"/>
    <w:rsid w:val="00F20820"/>
    <w:rsid w:val="00F20DE4"/>
    <w:rsid w:val="00F21185"/>
    <w:rsid w:val="00F21C1C"/>
    <w:rsid w:val="00F22764"/>
    <w:rsid w:val="00F234D7"/>
    <w:rsid w:val="00F23C57"/>
    <w:rsid w:val="00F23CBE"/>
    <w:rsid w:val="00F244D7"/>
    <w:rsid w:val="00F246A9"/>
    <w:rsid w:val="00F2474F"/>
    <w:rsid w:val="00F257B5"/>
    <w:rsid w:val="00F25934"/>
    <w:rsid w:val="00F25BC9"/>
    <w:rsid w:val="00F261E3"/>
    <w:rsid w:val="00F2697E"/>
    <w:rsid w:val="00F26B48"/>
    <w:rsid w:val="00F27E03"/>
    <w:rsid w:val="00F27F2E"/>
    <w:rsid w:val="00F30019"/>
    <w:rsid w:val="00F308C0"/>
    <w:rsid w:val="00F30925"/>
    <w:rsid w:val="00F30C44"/>
    <w:rsid w:val="00F31060"/>
    <w:rsid w:val="00F318E1"/>
    <w:rsid w:val="00F31DD2"/>
    <w:rsid w:val="00F3240F"/>
    <w:rsid w:val="00F33D23"/>
    <w:rsid w:val="00F34AEA"/>
    <w:rsid w:val="00F34BD7"/>
    <w:rsid w:val="00F34DF4"/>
    <w:rsid w:val="00F37397"/>
    <w:rsid w:val="00F377AB"/>
    <w:rsid w:val="00F402BF"/>
    <w:rsid w:val="00F4122B"/>
    <w:rsid w:val="00F419C6"/>
    <w:rsid w:val="00F41AC6"/>
    <w:rsid w:val="00F42A11"/>
    <w:rsid w:val="00F42A36"/>
    <w:rsid w:val="00F42A49"/>
    <w:rsid w:val="00F44A9D"/>
    <w:rsid w:val="00F44B2A"/>
    <w:rsid w:val="00F458FB"/>
    <w:rsid w:val="00F461A4"/>
    <w:rsid w:val="00F463CF"/>
    <w:rsid w:val="00F46862"/>
    <w:rsid w:val="00F46B46"/>
    <w:rsid w:val="00F51351"/>
    <w:rsid w:val="00F51475"/>
    <w:rsid w:val="00F51532"/>
    <w:rsid w:val="00F51576"/>
    <w:rsid w:val="00F51E87"/>
    <w:rsid w:val="00F51EC9"/>
    <w:rsid w:val="00F52819"/>
    <w:rsid w:val="00F53098"/>
    <w:rsid w:val="00F5458F"/>
    <w:rsid w:val="00F5480D"/>
    <w:rsid w:val="00F548A3"/>
    <w:rsid w:val="00F54C5F"/>
    <w:rsid w:val="00F55169"/>
    <w:rsid w:val="00F55B6F"/>
    <w:rsid w:val="00F56C65"/>
    <w:rsid w:val="00F5756B"/>
    <w:rsid w:val="00F575D3"/>
    <w:rsid w:val="00F57D80"/>
    <w:rsid w:val="00F60C30"/>
    <w:rsid w:val="00F60F3C"/>
    <w:rsid w:val="00F61352"/>
    <w:rsid w:val="00F61AA6"/>
    <w:rsid w:val="00F622ED"/>
    <w:rsid w:val="00F623E9"/>
    <w:rsid w:val="00F624AA"/>
    <w:rsid w:val="00F62A68"/>
    <w:rsid w:val="00F6361A"/>
    <w:rsid w:val="00F639F8"/>
    <w:rsid w:val="00F63B07"/>
    <w:rsid w:val="00F64B4D"/>
    <w:rsid w:val="00F6556E"/>
    <w:rsid w:val="00F65884"/>
    <w:rsid w:val="00F6602A"/>
    <w:rsid w:val="00F66AC4"/>
    <w:rsid w:val="00F66DF2"/>
    <w:rsid w:val="00F6748D"/>
    <w:rsid w:val="00F67C74"/>
    <w:rsid w:val="00F70529"/>
    <w:rsid w:val="00F71445"/>
    <w:rsid w:val="00F71763"/>
    <w:rsid w:val="00F72FF1"/>
    <w:rsid w:val="00F7345A"/>
    <w:rsid w:val="00F76347"/>
    <w:rsid w:val="00F76980"/>
    <w:rsid w:val="00F77FD7"/>
    <w:rsid w:val="00F81155"/>
    <w:rsid w:val="00F81EA8"/>
    <w:rsid w:val="00F82356"/>
    <w:rsid w:val="00F82B11"/>
    <w:rsid w:val="00F82F38"/>
    <w:rsid w:val="00F83165"/>
    <w:rsid w:val="00F83EF5"/>
    <w:rsid w:val="00F83F0A"/>
    <w:rsid w:val="00F85CA7"/>
    <w:rsid w:val="00F85D0C"/>
    <w:rsid w:val="00F85EC3"/>
    <w:rsid w:val="00F860F1"/>
    <w:rsid w:val="00F86A28"/>
    <w:rsid w:val="00F86A5B"/>
    <w:rsid w:val="00F86F0D"/>
    <w:rsid w:val="00F9084B"/>
    <w:rsid w:val="00F90CA7"/>
    <w:rsid w:val="00F9172A"/>
    <w:rsid w:val="00F9183E"/>
    <w:rsid w:val="00F92B5A"/>
    <w:rsid w:val="00F92D14"/>
    <w:rsid w:val="00F92FE1"/>
    <w:rsid w:val="00F93479"/>
    <w:rsid w:val="00F94934"/>
    <w:rsid w:val="00F94BEB"/>
    <w:rsid w:val="00F9596C"/>
    <w:rsid w:val="00F95FEE"/>
    <w:rsid w:val="00F96478"/>
    <w:rsid w:val="00F965E5"/>
    <w:rsid w:val="00F96C1E"/>
    <w:rsid w:val="00F96D07"/>
    <w:rsid w:val="00FA0174"/>
    <w:rsid w:val="00FA18F1"/>
    <w:rsid w:val="00FA2046"/>
    <w:rsid w:val="00FA3241"/>
    <w:rsid w:val="00FA3829"/>
    <w:rsid w:val="00FA52BA"/>
    <w:rsid w:val="00FA577D"/>
    <w:rsid w:val="00FA58D7"/>
    <w:rsid w:val="00FA6774"/>
    <w:rsid w:val="00FA67BA"/>
    <w:rsid w:val="00FA6D42"/>
    <w:rsid w:val="00FA77D9"/>
    <w:rsid w:val="00FA797E"/>
    <w:rsid w:val="00FB02E2"/>
    <w:rsid w:val="00FB074D"/>
    <w:rsid w:val="00FB11EC"/>
    <w:rsid w:val="00FB13E4"/>
    <w:rsid w:val="00FB1909"/>
    <w:rsid w:val="00FB19BB"/>
    <w:rsid w:val="00FB3A6F"/>
    <w:rsid w:val="00FB3ECD"/>
    <w:rsid w:val="00FB42C4"/>
    <w:rsid w:val="00FB6B5C"/>
    <w:rsid w:val="00FB7E27"/>
    <w:rsid w:val="00FC02B9"/>
    <w:rsid w:val="00FC0AD0"/>
    <w:rsid w:val="00FC0F91"/>
    <w:rsid w:val="00FC118D"/>
    <w:rsid w:val="00FC1CA0"/>
    <w:rsid w:val="00FC2DD3"/>
    <w:rsid w:val="00FC37C3"/>
    <w:rsid w:val="00FC3803"/>
    <w:rsid w:val="00FC3D2B"/>
    <w:rsid w:val="00FC4BBE"/>
    <w:rsid w:val="00FC4BC8"/>
    <w:rsid w:val="00FC4FD8"/>
    <w:rsid w:val="00FC58E7"/>
    <w:rsid w:val="00FC5C2B"/>
    <w:rsid w:val="00FC5EA2"/>
    <w:rsid w:val="00FC749E"/>
    <w:rsid w:val="00FC7AD0"/>
    <w:rsid w:val="00FC7AD8"/>
    <w:rsid w:val="00FC7E8E"/>
    <w:rsid w:val="00FD04A5"/>
    <w:rsid w:val="00FD04C7"/>
    <w:rsid w:val="00FD077F"/>
    <w:rsid w:val="00FD0DF2"/>
    <w:rsid w:val="00FD1130"/>
    <w:rsid w:val="00FD1675"/>
    <w:rsid w:val="00FD1C7B"/>
    <w:rsid w:val="00FD3086"/>
    <w:rsid w:val="00FD40DF"/>
    <w:rsid w:val="00FD4E9F"/>
    <w:rsid w:val="00FD6343"/>
    <w:rsid w:val="00FD6AA1"/>
    <w:rsid w:val="00FD743A"/>
    <w:rsid w:val="00FD7539"/>
    <w:rsid w:val="00FD7B68"/>
    <w:rsid w:val="00FE0760"/>
    <w:rsid w:val="00FE2967"/>
    <w:rsid w:val="00FE2DA0"/>
    <w:rsid w:val="00FE3184"/>
    <w:rsid w:val="00FE6B07"/>
    <w:rsid w:val="00FE6B97"/>
    <w:rsid w:val="00FE7289"/>
    <w:rsid w:val="00FF0924"/>
    <w:rsid w:val="00FF0E46"/>
    <w:rsid w:val="00FF0FCE"/>
    <w:rsid w:val="00FF1628"/>
    <w:rsid w:val="00FF1CA2"/>
    <w:rsid w:val="00FF2189"/>
    <w:rsid w:val="00FF21BD"/>
    <w:rsid w:val="00FF24F6"/>
    <w:rsid w:val="00FF4D25"/>
    <w:rsid w:val="00FF56BC"/>
    <w:rsid w:val="00FF6A3A"/>
    <w:rsid w:val="00FF6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0FA499-EC26-4F38-B4C3-41DCC762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D10B0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4507E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802419"/>
    <w:rPr>
      <w:rFonts w:ascii="宋体" w:eastAsia="宋体" w:hAnsi="Courier New" w:cs="Courier New"/>
      <w:szCs w:val="21"/>
    </w:rPr>
  </w:style>
  <w:style w:type="character" w:customStyle="1" w:styleId="Char">
    <w:name w:val="纯文本 Char"/>
    <w:basedOn w:val="a0"/>
    <w:link w:val="a3"/>
    <w:uiPriority w:val="99"/>
    <w:rsid w:val="00802419"/>
    <w:rPr>
      <w:rFonts w:ascii="宋体" w:eastAsia="宋体" w:hAnsi="Courier New" w:cs="Courier New"/>
      <w:szCs w:val="21"/>
    </w:rPr>
  </w:style>
  <w:style w:type="paragraph" w:styleId="a4">
    <w:name w:val="header"/>
    <w:basedOn w:val="a"/>
    <w:link w:val="Char0"/>
    <w:uiPriority w:val="99"/>
    <w:unhideWhenUsed/>
    <w:rsid w:val="004C39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C39AF"/>
    <w:rPr>
      <w:sz w:val="18"/>
      <w:szCs w:val="18"/>
    </w:rPr>
  </w:style>
  <w:style w:type="paragraph" w:styleId="a5">
    <w:name w:val="footer"/>
    <w:basedOn w:val="a"/>
    <w:link w:val="Char1"/>
    <w:uiPriority w:val="99"/>
    <w:unhideWhenUsed/>
    <w:rsid w:val="004C39AF"/>
    <w:pPr>
      <w:tabs>
        <w:tab w:val="center" w:pos="4153"/>
        <w:tab w:val="right" w:pos="8306"/>
      </w:tabs>
      <w:snapToGrid w:val="0"/>
      <w:jc w:val="left"/>
    </w:pPr>
    <w:rPr>
      <w:sz w:val="18"/>
      <w:szCs w:val="18"/>
    </w:rPr>
  </w:style>
  <w:style w:type="character" w:customStyle="1" w:styleId="Char1">
    <w:name w:val="页脚 Char"/>
    <w:basedOn w:val="a0"/>
    <w:link w:val="a5"/>
    <w:uiPriority w:val="99"/>
    <w:rsid w:val="004C39AF"/>
    <w:rPr>
      <w:sz w:val="18"/>
      <w:szCs w:val="18"/>
    </w:rPr>
  </w:style>
  <w:style w:type="character" w:styleId="a6">
    <w:name w:val="Hyperlink"/>
    <w:basedOn w:val="a0"/>
    <w:uiPriority w:val="99"/>
    <w:unhideWhenUsed/>
    <w:rsid w:val="00540FD2"/>
    <w:rPr>
      <w:color w:val="0563C1" w:themeColor="hyperlink"/>
      <w:u w:val="single"/>
    </w:rPr>
  </w:style>
  <w:style w:type="character" w:customStyle="1" w:styleId="conrtib-corresp">
    <w:name w:val="conrtib-corresp"/>
    <w:basedOn w:val="a0"/>
    <w:rsid w:val="005919ED"/>
  </w:style>
  <w:style w:type="character" w:customStyle="1" w:styleId="3Char">
    <w:name w:val="标题 3 Char"/>
    <w:basedOn w:val="a0"/>
    <w:link w:val="3"/>
    <w:uiPriority w:val="9"/>
    <w:semiHidden/>
    <w:rsid w:val="004507E5"/>
    <w:rPr>
      <w:b/>
      <w:bCs/>
      <w:sz w:val="32"/>
      <w:szCs w:val="32"/>
    </w:rPr>
  </w:style>
  <w:style w:type="character" w:customStyle="1" w:styleId="2Char">
    <w:name w:val="标题 2 Char"/>
    <w:basedOn w:val="a0"/>
    <w:link w:val="2"/>
    <w:uiPriority w:val="9"/>
    <w:semiHidden/>
    <w:rsid w:val="00D10B06"/>
    <w:rPr>
      <w:rFonts w:asciiTheme="majorHAnsi" w:eastAsiaTheme="majorEastAsia" w:hAnsiTheme="majorHAnsi" w:cstheme="majorBidi"/>
      <w:b/>
      <w:bCs/>
      <w:sz w:val="32"/>
      <w:szCs w:val="32"/>
    </w:rPr>
  </w:style>
  <w:style w:type="paragraph" w:customStyle="1" w:styleId="author-type">
    <w:name w:val="author-type"/>
    <w:basedOn w:val="a"/>
    <w:rsid w:val="00C238A2"/>
    <w:pPr>
      <w:widowControl/>
      <w:spacing w:before="100" w:beforeAutospacing="1" w:after="100" w:afterAutospacing="1"/>
      <w:jc w:val="left"/>
    </w:pPr>
    <w:rPr>
      <w:rFonts w:ascii="宋体" w:eastAsia="宋体" w:hAnsi="宋体" w:cs="宋体"/>
      <w:kern w:val="0"/>
      <w:sz w:val="24"/>
      <w:szCs w:val="24"/>
    </w:rPr>
  </w:style>
  <w:style w:type="paragraph" w:customStyle="1" w:styleId="author-name">
    <w:name w:val="author-name"/>
    <w:basedOn w:val="a"/>
    <w:rsid w:val="00C238A2"/>
    <w:pPr>
      <w:widowControl/>
      <w:spacing w:before="100" w:beforeAutospacing="1" w:after="100" w:afterAutospacing="1"/>
      <w:jc w:val="left"/>
    </w:pPr>
    <w:rPr>
      <w:rFonts w:ascii="宋体" w:eastAsia="宋体" w:hAnsi="宋体" w:cs="宋体"/>
      <w:kern w:val="0"/>
      <w:sz w:val="24"/>
      <w:szCs w:val="24"/>
    </w:rPr>
  </w:style>
  <w:style w:type="character" w:styleId="a7">
    <w:name w:val="FollowedHyperlink"/>
    <w:basedOn w:val="a0"/>
    <w:uiPriority w:val="99"/>
    <w:semiHidden/>
    <w:unhideWhenUsed/>
    <w:rsid w:val="00254E56"/>
    <w:rPr>
      <w:color w:val="954F72" w:themeColor="followedHyperlink"/>
      <w:u w:val="single"/>
    </w:rPr>
  </w:style>
  <w:style w:type="numbering" w:customStyle="1" w:styleId="1">
    <w:name w:val="无列表1"/>
    <w:next w:val="a2"/>
    <w:uiPriority w:val="99"/>
    <w:semiHidden/>
    <w:unhideWhenUsed/>
    <w:rsid w:val="00D857D9"/>
  </w:style>
  <w:style w:type="character" w:styleId="a8">
    <w:name w:val="annotation reference"/>
    <w:basedOn w:val="a0"/>
    <w:uiPriority w:val="99"/>
    <w:semiHidden/>
    <w:unhideWhenUsed/>
    <w:rsid w:val="00AB5626"/>
    <w:rPr>
      <w:sz w:val="21"/>
      <w:szCs w:val="21"/>
    </w:rPr>
  </w:style>
  <w:style w:type="paragraph" w:styleId="a9">
    <w:name w:val="annotation text"/>
    <w:basedOn w:val="a"/>
    <w:link w:val="Char2"/>
    <w:uiPriority w:val="99"/>
    <w:semiHidden/>
    <w:unhideWhenUsed/>
    <w:rsid w:val="00AB5626"/>
    <w:pPr>
      <w:jc w:val="left"/>
    </w:pPr>
  </w:style>
  <w:style w:type="character" w:customStyle="1" w:styleId="Char2">
    <w:name w:val="批注文字 Char"/>
    <w:basedOn w:val="a0"/>
    <w:link w:val="a9"/>
    <w:uiPriority w:val="99"/>
    <w:semiHidden/>
    <w:rsid w:val="00AB5626"/>
  </w:style>
  <w:style w:type="paragraph" w:styleId="aa">
    <w:name w:val="annotation subject"/>
    <w:basedOn w:val="a9"/>
    <w:next w:val="a9"/>
    <w:link w:val="Char3"/>
    <w:uiPriority w:val="99"/>
    <w:semiHidden/>
    <w:unhideWhenUsed/>
    <w:rsid w:val="00AB5626"/>
    <w:rPr>
      <w:b/>
      <w:bCs/>
    </w:rPr>
  </w:style>
  <w:style w:type="character" w:customStyle="1" w:styleId="Char3">
    <w:name w:val="批注主题 Char"/>
    <w:basedOn w:val="Char2"/>
    <w:link w:val="aa"/>
    <w:uiPriority w:val="99"/>
    <w:semiHidden/>
    <w:rsid w:val="00AB5626"/>
    <w:rPr>
      <w:b/>
      <w:bCs/>
    </w:rPr>
  </w:style>
  <w:style w:type="paragraph" w:styleId="ab">
    <w:name w:val="Balloon Text"/>
    <w:basedOn w:val="a"/>
    <w:link w:val="Char4"/>
    <w:uiPriority w:val="99"/>
    <w:semiHidden/>
    <w:unhideWhenUsed/>
    <w:rsid w:val="00AB5626"/>
    <w:rPr>
      <w:sz w:val="18"/>
      <w:szCs w:val="18"/>
    </w:rPr>
  </w:style>
  <w:style w:type="character" w:customStyle="1" w:styleId="Char4">
    <w:name w:val="批注框文本 Char"/>
    <w:basedOn w:val="a0"/>
    <w:link w:val="ab"/>
    <w:uiPriority w:val="99"/>
    <w:semiHidden/>
    <w:rsid w:val="00AB5626"/>
    <w:rPr>
      <w:sz w:val="18"/>
      <w:szCs w:val="18"/>
    </w:rPr>
  </w:style>
  <w:style w:type="paragraph" w:styleId="ac">
    <w:name w:val="List Paragraph"/>
    <w:basedOn w:val="a"/>
    <w:uiPriority w:val="34"/>
    <w:qFormat/>
    <w:rsid w:val="002F49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1555">
      <w:bodyDiv w:val="1"/>
      <w:marLeft w:val="0"/>
      <w:marRight w:val="0"/>
      <w:marTop w:val="0"/>
      <w:marBottom w:val="0"/>
      <w:divBdr>
        <w:top w:val="none" w:sz="0" w:space="0" w:color="auto"/>
        <w:left w:val="none" w:sz="0" w:space="0" w:color="auto"/>
        <w:bottom w:val="none" w:sz="0" w:space="0" w:color="auto"/>
        <w:right w:val="none" w:sz="0" w:space="0" w:color="auto"/>
      </w:divBdr>
      <w:divsChild>
        <w:div w:id="212737830">
          <w:marLeft w:val="0"/>
          <w:marRight w:val="0"/>
          <w:marTop w:val="240"/>
          <w:marBottom w:val="120"/>
          <w:divBdr>
            <w:top w:val="none" w:sz="0" w:space="0" w:color="auto"/>
            <w:left w:val="none" w:sz="0" w:space="0" w:color="auto"/>
            <w:bottom w:val="none" w:sz="0" w:space="0" w:color="auto"/>
            <w:right w:val="none" w:sz="0" w:space="0" w:color="auto"/>
          </w:divBdr>
        </w:div>
        <w:div w:id="1968005357">
          <w:marLeft w:val="0"/>
          <w:marRight w:val="0"/>
          <w:marTop w:val="240"/>
          <w:marBottom w:val="120"/>
          <w:divBdr>
            <w:top w:val="none" w:sz="0" w:space="0" w:color="auto"/>
            <w:left w:val="none" w:sz="0" w:space="0" w:color="auto"/>
            <w:bottom w:val="none" w:sz="0" w:space="0" w:color="auto"/>
            <w:right w:val="none" w:sz="0" w:space="0" w:color="auto"/>
          </w:divBdr>
        </w:div>
      </w:divsChild>
    </w:div>
    <w:div w:id="10690713">
      <w:bodyDiv w:val="1"/>
      <w:marLeft w:val="0"/>
      <w:marRight w:val="0"/>
      <w:marTop w:val="0"/>
      <w:marBottom w:val="0"/>
      <w:divBdr>
        <w:top w:val="none" w:sz="0" w:space="0" w:color="auto"/>
        <w:left w:val="none" w:sz="0" w:space="0" w:color="auto"/>
        <w:bottom w:val="none" w:sz="0" w:space="0" w:color="auto"/>
        <w:right w:val="none" w:sz="0" w:space="0" w:color="auto"/>
      </w:divBdr>
      <w:divsChild>
        <w:div w:id="929123443">
          <w:marLeft w:val="0"/>
          <w:marRight w:val="0"/>
          <w:marTop w:val="0"/>
          <w:marBottom w:val="0"/>
          <w:divBdr>
            <w:top w:val="none" w:sz="0" w:space="0" w:color="auto"/>
            <w:left w:val="none" w:sz="0" w:space="0" w:color="auto"/>
            <w:bottom w:val="none" w:sz="0" w:space="0" w:color="auto"/>
            <w:right w:val="none" w:sz="0" w:space="0" w:color="auto"/>
          </w:divBdr>
          <w:divsChild>
            <w:div w:id="1349988360">
              <w:marLeft w:val="0"/>
              <w:marRight w:val="0"/>
              <w:marTop w:val="0"/>
              <w:marBottom w:val="0"/>
              <w:divBdr>
                <w:top w:val="none" w:sz="0" w:space="0" w:color="auto"/>
                <w:left w:val="none" w:sz="0" w:space="0" w:color="auto"/>
                <w:bottom w:val="none" w:sz="0" w:space="0" w:color="auto"/>
                <w:right w:val="none" w:sz="0" w:space="0" w:color="auto"/>
              </w:divBdr>
              <w:divsChild>
                <w:div w:id="553540153">
                  <w:marLeft w:val="-30"/>
                  <w:marRight w:val="90"/>
                  <w:marTop w:val="0"/>
                  <w:marBottom w:val="105"/>
                  <w:divBdr>
                    <w:top w:val="none" w:sz="0" w:space="0" w:color="auto"/>
                    <w:left w:val="none" w:sz="0" w:space="0" w:color="auto"/>
                    <w:bottom w:val="none" w:sz="0" w:space="0" w:color="auto"/>
                    <w:right w:val="none" w:sz="0" w:space="0" w:color="auto"/>
                  </w:divBdr>
                </w:div>
              </w:divsChild>
            </w:div>
          </w:divsChild>
        </w:div>
        <w:div w:id="1375694219">
          <w:marLeft w:val="0"/>
          <w:marRight w:val="0"/>
          <w:marTop w:val="0"/>
          <w:marBottom w:val="0"/>
          <w:divBdr>
            <w:top w:val="none" w:sz="0" w:space="0" w:color="auto"/>
            <w:left w:val="none" w:sz="0" w:space="0" w:color="auto"/>
            <w:bottom w:val="none" w:sz="0" w:space="0" w:color="auto"/>
            <w:right w:val="none" w:sz="0" w:space="0" w:color="auto"/>
          </w:divBdr>
          <w:divsChild>
            <w:div w:id="1448426415">
              <w:marLeft w:val="0"/>
              <w:marRight w:val="0"/>
              <w:marTop w:val="0"/>
              <w:marBottom w:val="0"/>
              <w:divBdr>
                <w:top w:val="none" w:sz="0" w:space="0" w:color="auto"/>
                <w:left w:val="none" w:sz="0" w:space="0" w:color="auto"/>
                <w:bottom w:val="none" w:sz="0" w:space="0" w:color="auto"/>
                <w:right w:val="none" w:sz="0" w:space="0" w:color="auto"/>
              </w:divBdr>
            </w:div>
          </w:divsChild>
        </w:div>
        <w:div w:id="1953439913">
          <w:marLeft w:val="0"/>
          <w:marRight w:val="0"/>
          <w:marTop w:val="0"/>
          <w:marBottom w:val="0"/>
          <w:divBdr>
            <w:top w:val="none" w:sz="0" w:space="0" w:color="auto"/>
            <w:left w:val="none" w:sz="0" w:space="0" w:color="auto"/>
            <w:bottom w:val="none" w:sz="0" w:space="0" w:color="auto"/>
            <w:right w:val="none" w:sz="0" w:space="0" w:color="auto"/>
          </w:divBdr>
          <w:divsChild>
            <w:div w:id="993728029">
              <w:marLeft w:val="0"/>
              <w:marRight w:val="0"/>
              <w:marTop w:val="0"/>
              <w:marBottom w:val="0"/>
              <w:divBdr>
                <w:top w:val="none" w:sz="0" w:space="0" w:color="auto"/>
                <w:left w:val="none" w:sz="0" w:space="0" w:color="auto"/>
                <w:bottom w:val="none" w:sz="0" w:space="0" w:color="auto"/>
                <w:right w:val="none" w:sz="0" w:space="0" w:color="auto"/>
              </w:divBdr>
              <w:divsChild>
                <w:div w:id="92556553">
                  <w:marLeft w:val="0"/>
                  <w:marRight w:val="0"/>
                  <w:marTop w:val="0"/>
                  <w:marBottom w:val="0"/>
                  <w:divBdr>
                    <w:top w:val="none" w:sz="0" w:space="0" w:color="auto"/>
                    <w:left w:val="none" w:sz="0" w:space="0" w:color="auto"/>
                    <w:bottom w:val="none" w:sz="0" w:space="0" w:color="auto"/>
                    <w:right w:val="none" w:sz="0" w:space="0" w:color="auto"/>
                  </w:divBdr>
                  <w:divsChild>
                    <w:div w:id="1259145320">
                      <w:marLeft w:val="0"/>
                      <w:marRight w:val="0"/>
                      <w:marTop w:val="0"/>
                      <w:marBottom w:val="0"/>
                      <w:divBdr>
                        <w:top w:val="none" w:sz="0" w:space="0" w:color="auto"/>
                        <w:left w:val="none" w:sz="0" w:space="0" w:color="auto"/>
                        <w:bottom w:val="none" w:sz="0" w:space="0" w:color="auto"/>
                        <w:right w:val="none" w:sz="0" w:space="0" w:color="auto"/>
                      </w:divBdr>
                    </w:div>
                    <w:div w:id="1554004205">
                      <w:marLeft w:val="0"/>
                      <w:marRight w:val="0"/>
                      <w:marTop w:val="0"/>
                      <w:marBottom w:val="0"/>
                      <w:divBdr>
                        <w:top w:val="none" w:sz="0" w:space="0" w:color="auto"/>
                        <w:left w:val="none" w:sz="0" w:space="0" w:color="auto"/>
                        <w:bottom w:val="none" w:sz="0" w:space="0" w:color="auto"/>
                        <w:right w:val="none" w:sz="0" w:space="0" w:color="auto"/>
                      </w:divBdr>
                      <w:divsChild>
                        <w:div w:id="418525313">
                          <w:marLeft w:val="0"/>
                          <w:marRight w:val="0"/>
                          <w:marTop w:val="0"/>
                          <w:marBottom w:val="0"/>
                          <w:divBdr>
                            <w:top w:val="none" w:sz="0" w:space="0" w:color="auto"/>
                            <w:left w:val="none" w:sz="0" w:space="0" w:color="auto"/>
                            <w:bottom w:val="none" w:sz="0" w:space="0" w:color="auto"/>
                            <w:right w:val="none" w:sz="0" w:space="0" w:color="auto"/>
                          </w:divBdr>
                          <w:divsChild>
                            <w:div w:id="100031141">
                              <w:marLeft w:val="0"/>
                              <w:marRight w:val="0"/>
                              <w:marTop w:val="0"/>
                              <w:marBottom w:val="0"/>
                              <w:divBdr>
                                <w:top w:val="none" w:sz="0" w:space="0" w:color="auto"/>
                                <w:left w:val="none" w:sz="0" w:space="0" w:color="auto"/>
                                <w:bottom w:val="none" w:sz="0" w:space="0" w:color="auto"/>
                                <w:right w:val="none" w:sz="0" w:space="0" w:color="auto"/>
                              </w:divBdr>
                              <w:divsChild>
                                <w:div w:id="906915810">
                                  <w:marLeft w:val="0"/>
                                  <w:marRight w:val="-120"/>
                                  <w:marTop w:val="0"/>
                                  <w:marBottom w:val="0"/>
                                  <w:divBdr>
                                    <w:top w:val="single" w:sz="6" w:space="0" w:color="C2C2C2"/>
                                    <w:left w:val="single" w:sz="6" w:space="0" w:color="C2C2C2"/>
                                    <w:bottom w:val="single" w:sz="6" w:space="0" w:color="C2C2C2"/>
                                    <w:right w:val="none" w:sz="0" w:space="0" w:color="auto"/>
                                  </w:divBdr>
                                  <w:divsChild>
                                    <w:div w:id="1910380490">
                                      <w:marLeft w:val="0"/>
                                      <w:marRight w:val="0"/>
                                      <w:marTop w:val="0"/>
                                      <w:marBottom w:val="0"/>
                                      <w:divBdr>
                                        <w:top w:val="none" w:sz="0" w:space="0" w:color="auto"/>
                                        <w:left w:val="none" w:sz="0" w:space="0" w:color="auto"/>
                                        <w:bottom w:val="none" w:sz="0" w:space="0" w:color="auto"/>
                                        <w:right w:val="none" w:sz="0" w:space="0" w:color="auto"/>
                                      </w:divBdr>
                                    </w:div>
                                  </w:divsChild>
                                </w:div>
                                <w:div w:id="15800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124110">
                      <w:marLeft w:val="0"/>
                      <w:marRight w:val="0"/>
                      <w:marTop w:val="0"/>
                      <w:marBottom w:val="0"/>
                      <w:divBdr>
                        <w:top w:val="none" w:sz="0" w:space="0" w:color="auto"/>
                        <w:left w:val="none" w:sz="0" w:space="0" w:color="auto"/>
                        <w:bottom w:val="none" w:sz="0" w:space="0" w:color="auto"/>
                        <w:right w:val="none" w:sz="0" w:space="0" w:color="auto"/>
                      </w:divBdr>
                      <w:divsChild>
                        <w:div w:id="21385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6840">
                  <w:marLeft w:val="0"/>
                  <w:marRight w:val="0"/>
                  <w:marTop w:val="0"/>
                  <w:marBottom w:val="0"/>
                  <w:divBdr>
                    <w:top w:val="none" w:sz="0" w:space="0" w:color="auto"/>
                    <w:left w:val="none" w:sz="0" w:space="0" w:color="auto"/>
                    <w:bottom w:val="none" w:sz="0" w:space="0" w:color="auto"/>
                    <w:right w:val="none" w:sz="0" w:space="0" w:color="auto"/>
                  </w:divBdr>
                  <w:divsChild>
                    <w:div w:id="1534533828">
                      <w:marLeft w:val="0"/>
                      <w:marRight w:val="0"/>
                      <w:marTop w:val="0"/>
                      <w:marBottom w:val="0"/>
                      <w:divBdr>
                        <w:top w:val="none" w:sz="0" w:space="0" w:color="auto"/>
                        <w:left w:val="none" w:sz="0" w:space="0" w:color="auto"/>
                        <w:bottom w:val="none" w:sz="0" w:space="0" w:color="auto"/>
                        <w:right w:val="none" w:sz="0" w:space="0" w:color="auto"/>
                      </w:divBdr>
                      <w:divsChild>
                        <w:div w:id="689798739">
                          <w:marLeft w:val="0"/>
                          <w:marRight w:val="0"/>
                          <w:marTop w:val="0"/>
                          <w:marBottom w:val="0"/>
                          <w:divBdr>
                            <w:top w:val="none" w:sz="0" w:space="0" w:color="auto"/>
                            <w:left w:val="none" w:sz="0" w:space="0" w:color="auto"/>
                            <w:bottom w:val="none" w:sz="0" w:space="0" w:color="auto"/>
                            <w:right w:val="none" w:sz="0" w:space="0" w:color="auto"/>
                          </w:divBdr>
                          <w:divsChild>
                            <w:div w:id="1246109812">
                              <w:marLeft w:val="0"/>
                              <w:marRight w:val="0"/>
                              <w:marTop w:val="0"/>
                              <w:marBottom w:val="0"/>
                              <w:divBdr>
                                <w:top w:val="none" w:sz="0" w:space="0" w:color="auto"/>
                                <w:left w:val="none" w:sz="0" w:space="0" w:color="auto"/>
                                <w:bottom w:val="none" w:sz="0" w:space="0" w:color="auto"/>
                                <w:right w:val="none" w:sz="0" w:space="0" w:color="auto"/>
                              </w:divBdr>
                              <w:divsChild>
                                <w:div w:id="760182037">
                                  <w:marLeft w:val="0"/>
                                  <w:marRight w:val="0"/>
                                  <w:marTop w:val="0"/>
                                  <w:marBottom w:val="0"/>
                                  <w:divBdr>
                                    <w:top w:val="none" w:sz="0" w:space="0" w:color="auto"/>
                                    <w:left w:val="none" w:sz="0" w:space="0" w:color="auto"/>
                                    <w:bottom w:val="none" w:sz="0" w:space="0" w:color="auto"/>
                                    <w:right w:val="none" w:sz="0" w:space="0" w:color="auto"/>
                                  </w:divBdr>
                                  <w:divsChild>
                                    <w:div w:id="760416905">
                                      <w:marLeft w:val="0"/>
                                      <w:marRight w:val="0"/>
                                      <w:marTop w:val="0"/>
                                      <w:marBottom w:val="0"/>
                                      <w:divBdr>
                                        <w:top w:val="none" w:sz="0" w:space="0" w:color="auto"/>
                                        <w:left w:val="none" w:sz="0" w:space="0" w:color="auto"/>
                                        <w:bottom w:val="none" w:sz="0" w:space="0" w:color="auto"/>
                                        <w:right w:val="none" w:sz="0" w:space="0" w:color="auto"/>
                                      </w:divBdr>
                                      <w:divsChild>
                                        <w:div w:id="1236940641">
                                          <w:marLeft w:val="0"/>
                                          <w:marRight w:val="0"/>
                                          <w:marTop w:val="0"/>
                                          <w:marBottom w:val="0"/>
                                          <w:divBdr>
                                            <w:top w:val="none" w:sz="0" w:space="0" w:color="auto"/>
                                            <w:left w:val="none" w:sz="0" w:space="0" w:color="auto"/>
                                            <w:bottom w:val="none" w:sz="0" w:space="0" w:color="auto"/>
                                            <w:right w:val="none" w:sz="0" w:space="0" w:color="auto"/>
                                          </w:divBdr>
                                          <w:divsChild>
                                            <w:div w:id="504907239">
                                              <w:marLeft w:val="0"/>
                                              <w:marRight w:val="0"/>
                                              <w:marTop w:val="0"/>
                                              <w:marBottom w:val="0"/>
                                              <w:divBdr>
                                                <w:top w:val="none" w:sz="0" w:space="0" w:color="auto"/>
                                                <w:left w:val="none" w:sz="0" w:space="0" w:color="auto"/>
                                                <w:bottom w:val="none" w:sz="0" w:space="0" w:color="auto"/>
                                                <w:right w:val="none" w:sz="0" w:space="0" w:color="auto"/>
                                              </w:divBdr>
                                              <w:divsChild>
                                                <w:div w:id="2037656063">
                                                  <w:marLeft w:val="0"/>
                                                  <w:marRight w:val="0"/>
                                                  <w:marTop w:val="0"/>
                                                  <w:marBottom w:val="0"/>
                                                  <w:divBdr>
                                                    <w:top w:val="none" w:sz="0" w:space="0" w:color="auto"/>
                                                    <w:left w:val="none" w:sz="0" w:space="0" w:color="auto"/>
                                                    <w:bottom w:val="none" w:sz="0" w:space="0" w:color="auto"/>
                                                    <w:right w:val="none" w:sz="0" w:space="0" w:color="auto"/>
                                                  </w:divBdr>
                                                  <w:divsChild>
                                                    <w:div w:id="1115058210">
                                                      <w:marLeft w:val="0"/>
                                                      <w:marRight w:val="0"/>
                                                      <w:marTop w:val="0"/>
                                                      <w:marBottom w:val="0"/>
                                                      <w:divBdr>
                                                        <w:top w:val="none" w:sz="0" w:space="0" w:color="auto"/>
                                                        <w:left w:val="none" w:sz="0" w:space="0" w:color="auto"/>
                                                        <w:bottom w:val="none" w:sz="0" w:space="0" w:color="auto"/>
                                                        <w:right w:val="none" w:sz="0" w:space="0" w:color="auto"/>
                                                      </w:divBdr>
                                                      <w:divsChild>
                                                        <w:div w:id="109518845">
                                                          <w:marLeft w:val="0"/>
                                                          <w:marRight w:val="0"/>
                                                          <w:marTop w:val="0"/>
                                                          <w:marBottom w:val="0"/>
                                                          <w:divBdr>
                                                            <w:top w:val="none" w:sz="0" w:space="0" w:color="auto"/>
                                                            <w:left w:val="none" w:sz="0" w:space="0" w:color="auto"/>
                                                            <w:bottom w:val="none" w:sz="0" w:space="0" w:color="auto"/>
                                                            <w:right w:val="none" w:sz="0" w:space="0" w:color="auto"/>
                                                          </w:divBdr>
                                                          <w:divsChild>
                                                            <w:div w:id="698817418">
                                                              <w:marLeft w:val="0"/>
                                                              <w:marRight w:val="0"/>
                                                              <w:marTop w:val="0"/>
                                                              <w:marBottom w:val="0"/>
                                                              <w:divBdr>
                                                                <w:top w:val="none" w:sz="0" w:space="0" w:color="auto"/>
                                                                <w:left w:val="none" w:sz="0" w:space="0" w:color="auto"/>
                                                                <w:bottom w:val="none" w:sz="0" w:space="0" w:color="auto"/>
                                                                <w:right w:val="none" w:sz="0" w:space="0" w:color="auto"/>
                                                              </w:divBdr>
                                                              <w:divsChild>
                                                                <w:div w:id="15233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5182">
                              <w:marLeft w:val="0"/>
                              <w:marRight w:val="0"/>
                              <w:marTop w:val="0"/>
                              <w:marBottom w:val="0"/>
                              <w:divBdr>
                                <w:top w:val="none" w:sz="0" w:space="0" w:color="auto"/>
                                <w:left w:val="none" w:sz="0" w:space="0" w:color="auto"/>
                                <w:bottom w:val="none" w:sz="0" w:space="0" w:color="auto"/>
                                <w:right w:val="none" w:sz="0" w:space="0" w:color="auto"/>
                              </w:divBdr>
                              <w:divsChild>
                                <w:div w:id="628510652">
                                  <w:marLeft w:val="0"/>
                                  <w:marRight w:val="0"/>
                                  <w:marTop w:val="0"/>
                                  <w:marBottom w:val="0"/>
                                  <w:divBdr>
                                    <w:top w:val="none" w:sz="0" w:space="0" w:color="auto"/>
                                    <w:left w:val="none" w:sz="0" w:space="0" w:color="auto"/>
                                    <w:bottom w:val="none" w:sz="0" w:space="0" w:color="auto"/>
                                    <w:right w:val="none" w:sz="0" w:space="0" w:color="auto"/>
                                  </w:divBdr>
                                  <w:divsChild>
                                    <w:div w:id="701633965">
                                      <w:marLeft w:val="0"/>
                                      <w:marRight w:val="0"/>
                                      <w:marTop w:val="0"/>
                                      <w:marBottom w:val="0"/>
                                      <w:divBdr>
                                        <w:top w:val="none" w:sz="0" w:space="0" w:color="auto"/>
                                        <w:left w:val="none" w:sz="0" w:space="0" w:color="auto"/>
                                        <w:bottom w:val="none" w:sz="0" w:space="0" w:color="auto"/>
                                        <w:right w:val="none" w:sz="0" w:space="0" w:color="auto"/>
                                      </w:divBdr>
                                      <w:divsChild>
                                        <w:div w:id="385448529">
                                          <w:marLeft w:val="0"/>
                                          <w:marRight w:val="0"/>
                                          <w:marTop w:val="0"/>
                                          <w:marBottom w:val="0"/>
                                          <w:divBdr>
                                            <w:top w:val="none" w:sz="0" w:space="0" w:color="auto"/>
                                            <w:left w:val="none" w:sz="0" w:space="0" w:color="auto"/>
                                            <w:bottom w:val="none" w:sz="0" w:space="0" w:color="auto"/>
                                            <w:right w:val="none" w:sz="0" w:space="0" w:color="auto"/>
                                          </w:divBdr>
                                          <w:divsChild>
                                            <w:div w:id="803499643">
                                              <w:marLeft w:val="0"/>
                                              <w:marRight w:val="0"/>
                                              <w:marTop w:val="0"/>
                                              <w:marBottom w:val="0"/>
                                              <w:divBdr>
                                                <w:top w:val="none" w:sz="0" w:space="0" w:color="auto"/>
                                                <w:left w:val="none" w:sz="0" w:space="0" w:color="auto"/>
                                                <w:bottom w:val="none" w:sz="0" w:space="0" w:color="auto"/>
                                                <w:right w:val="none" w:sz="0" w:space="0" w:color="auto"/>
                                              </w:divBdr>
                                              <w:divsChild>
                                                <w:div w:id="36324458">
                                                  <w:marLeft w:val="0"/>
                                                  <w:marRight w:val="0"/>
                                                  <w:marTop w:val="0"/>
                                                  <w:marBottom w:val="0"/>
                                                  <w:divBdr>
                                                    <w:top w:val="none" w:sz="0" w:space="0" w:color="auto"/>
                                                    <w:left w:val="none" w:sz="0" w:space="0" w:color="auto"/>
                                                    <w:bottom w:val="none" w:sz="0" w:space="0" w:color="auto"/>
                                                    <w:right w:val="none" w:sz="0" w:space="0" w:color="auto"/>
                                                  </w:divBdr>
                                                  <w:divsChild>
                                                    <w:div w:id="133908999">
                                                      <w:marLeft w:val="0"/>
                                                      <w:marRight w:val="0"/>
                                                      <w:marTop w:val="0"/>
                                                      <w:marBottom w:val="0"/>
                                                      <w:divBdr>
                                                        <w:top w:val="none" w:sz="0" w:space="0" w:color="auto"/>
                                                        <w:left w:val="none" w:sz="0" w:space="0" w:color="auto"/>
                                                        <w:bottom w:val="none" w:sz="0" w:space="0" w:color="auto"/>
                                                        <w:right w:val="none" w:sz="0" w:space="0" w:color="auto"/>
                                                      </w:divBdr>
                                                      <w:divsChild>
                                                        <w:div w:id="1441099697">
                                                          <w:marLeft w:val="0"/>
                                                          <w:marRight w:val="0"/>
                                                          <w:marTop w:val="0"/>
                                                          <w:marBottom w:val="0"/>
                                                          <w:divBdr>
                                                            <w:top w:val="none" w:sz="0" w:space="0" w:color="auto"/>
                                                            <w:left w:val="none" w:sz="0" w:space="0" w:color="auto"/>
                                                            <w:bottom w:val="none" w:sz="0" w:space="0" w:color="auto"/>
                                                            <w:right w:val="none" w:sz="0" w:space="0" w:color="auto"/>
                                                          </w:divBdr>
                                                          <w:divsChild>
                                                            <w:div w:id="1111701884">
                                                              <w:marLeft w:val="0"/>
                                                              <w:marRight w:val="0"/>
                                                              <w:marTop w:val="0"/>
                                                              <w:marBottom w:val="0"/>
                                                              <w:divBdr>
                                                                <w:top w:val="none" w:sz="0" w:space="0" w:color="auto"/>
                                                                <w:left w:val="none" w:sz="0" w:space="0" w:color="auto"/>
                                                                <w:bottom w:val="none" w:sz="0" w:space="0" w:color="auto"/>
                                                                <w:right w:val="none" w:sz="0" w:space="0" w:color="auto"/>
                                                              </w:divBdr>
                                                              <w:divsChild>
                                                                <w:div w:id="388964576">
                                                                  <w:marLeft w:val="0"/>
                                                                  <w:marRight w:val="0"/>
                                                                  <w:marTop w:val="0"/>
                                                                  <w:marBottom w:val="0"/>
                                                                  <w:divBdr>
                                                                    <w:top w:val="none" w:sz="0" w:space="0" w:color="auto"/>
                                                                    <w:left w:val="none" w:sz="0" w:space="0" w:color="auto"/>
                                                                    <w:bottom w:val="none" w:sz="0" w:space="0" w:color="auto"/>
                                                                    <w:right w:val="none" w:sz="0" w:space="0" w:color="auto"/>
                                                                  </w:divBdr>
                                                                  <w:divsChild>
                                                                    <w:div w:id="62812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817394">
      <w:bodyDiv w:val="1"/>
      <w:marLeft w:val="0"/>
      <w:marRight w:val="0"/>
      <w:marTop w:val="0"/>
      <w:marBottom w:val="0"/>
      <w:divBdr>
        <w:top w:val="none" w:sz="0" w:space="0" w:color="auto"/>
        <w:left w:val="none" w:sz="0" w:space="0" w:color="auto"/>
        <w:bottom w:val="none" w:sz="0" w:space="0" w:color="auto"/>
        <w:right w:val="none" w:sz="0" w:space="0" w:color="auto"/>
      </w:divBdr>
    </w:div>
    <w:div w:id="53817559">
      <w:bodyDiv w:val="1"/>
      <w:marLeft w:val="0"/>
      <w:marRight w:val="0"/>
      <w:marTop w:val="0"/>
      <w:marBottom w:val="0"/>
      <w:divBdr>
        <w:top w:val="none" w:sz="0" w:space="0" w:color="auto"/>
        <w:left w:val="none" w:sz="0" w:space="0" w:color="auto"/>
        <w:bottom w:val="none" w:sz="0" w:space="0" w:color="auto"/>
        <w:right w:val="none" w:sz="0" w:space="0" w:color="auto"/>
      </w:divBdr>
      <w:divsChild>
        <w:div w:id="590283550">
          <w:marLeft w:val="0"/>
          <w:marRight w:val="0"/>
          <w:marTop w:val="0"/>
          <w:marBottom w:val="75"/>
          <w:divBdr>
            <w:top w:val="none" w:sz="0" w:space="0" w:color="auto"/>
            <w:left w:val="none" w:sz="0" w:space="0" w:color="auto"/>
            <w:bottom w:val="none" w:sz="0" w:space="0" w:color="auto"/>
            <w:right w:val="none" w:sz="0" w:space="0" w:color="auto"/>
          </w:divBdr>
          <w:divsChild>
            <w:div w:id="13726118">
              <w:marLeft w:val="0"/>
              <w:marRight w:val="0"/>
              <w:marTop w:val="0"/>
              <w:marBottom w:val="0"/>
              <w:divBdr>
                <w:top w:val="none" w:sz="0" w:space="0" w:color="auto"/>
                <w:left w:val="none" w:sz="0" w:space="0" w:color="auto"/>
                <w:bottom w:val="none" w:sz="0" w:space="0" w:color="auto"/>
                <w:right w:val="none" w:sz="0" w:space="0" w:color="auto"/>
              </w:divBdr>
            </w:div>
          </w:divsChild>
        </w:div>
        <w:div w:id="93089847">
          <w:marLeft w:val="0"/>
          <w:marRight w:val="0"/>
          <w:marTop w:val="0"/>
          <w:marBottom w:val="0"/>
          <w:divBdr>
            <w:top w:val="none" w:sz="0" w:space="0" w:color="auto"/>
            <w:left w:val="none" w:sz="0" w:space="0" w:color="auto"/>
            <w:bottom w:val="none" w:sz="0" w:space="0" w:color="auto"/>
            <w:right w:val="none" w:sz="0" w:space="0" w:color="auto"/>
          </w:divBdr>
          <w:divsChild>
            <w:div w:id="445849499">
              <w:marLeft w:val="0"/>
              <w:marRight w:val="0"/>
              <w:marTop w:val="0"/>
              <w:marBottom w:val="75"/>
              <w:divBdr>
                <w:top w:val="none" w:sz="0" w:space="0" w:color="auto"/>
                <w:left w:val="none" w:sz="0" w:space="0" w:color="auto"/>
                <w:bottom w:val="none" w:sz="0" w:space="0" w:color="auto"/>
                <w:right w:val="none" w:sz="0" w:space="0" w:color="auto"/>
              </w:divBdr>
              <w:divsChild>
                <w:div w:id="700939942">
                  <w:marLeft w:val="0"/>
                  <w:marRight w:val="0"/>
                  <w:marTop w:val="0"/>
                  <w:marBottom w:val="0"/>
                  <w:divBdr>
                    <w:top w:val="none" w:sz="0" w:space="0" w:color="auto"/>
                    <w:left w:val="none" w:sz="0" w:space="0" w:color="auto"/>
                    <w:bottom w:val="none" w:sz="0" w:space="0" w:color="auto"/>
                    <w:right w:val="none" w:sz="0" w:space="0" w:color="auto"/>
                  </w:divBdr>
                </w:div>
                <w:div w:id="1368019560">
                  <w:marLeft w:val="0"/>
                  <w:marRight w:val="0"/>
                  <w:marTop w:val="0"/>
                  <w:marBottom w:val="0"/>
                  <w:divBdr>
                    <w:top w:val="none" w:sz="0" w:space="0" w:color="auto"/>
                    <w:left w:val="none" w:sz="0" w:space="0" w:color="auto"/>
                    <w:bottom w:val="none" w:sz="0" w:space="0" w:color="auto"/>
                    <w:right w:val="none" w:sz="0" w:space="0" w:color="auto"/>
                  </w:divBdr>
                </w:div>
                <w:div w:id="192868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4139">
          <w:marLeft w:val="0"/>
          <w:marRight w:val="0"/>
          <w:marTop w:val="0"/>
          <w:marBottom w:val="0"/>
          <w:divBdr>
            <w:top w:val="none" w:sz="0" w:space="0" w:color="auto"/>
            <w:left w:val="none" w:sz="0" w:space="0" w:color="auto"/>
            <w:bottom w:val="none" w:sz="0" w:space="0" w:color="auto"/>
            <w:right w:val="none" w:sz="0" w:space="0" w:color="auto"/>
          </w:divBdr>
          <w:divsChild>
            <w:div w:id="6101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5074">
      <w:bodyDiv w:val="1"/>
      <w:marLeft w:val="0"/>
      <w:marRight w:val="0"/>
      <w:marTop w:val="0"/>
      <w:marBottom w:val="0"/>
      <w:divBdr>
        <w:top w:val="none" w:sz="0" w:space="0" w:color="auto"/>
        <w:left w:val="none" w:sz="0" w:space="0" w:color="auto"/>
        <w:bottom w:val="none" w:sz="0" w:space="0" w:color="auto"/>
        <w:right w:val="none" w:sz="0" w:space="0" w:color="auto"/>
      </w:divBdr>
    </w:div>
    <w:div w:id="87583249">
      <w:bodyDiv w:val="1"/>
      <w:marLeft w:val="0"/>
      <w:marRight w:val="0"/>
      <w:marTop w:val="0"/>
      <w:marBottom w:val="0"/>
      <w:divBdr>
        <w:top w:val="none" w:sz="0" w:space="0" w:color="auto"/>
        <w:left w:val="none" w:sz="0" w:space="0" w:color="auto"/>
        <w:bottom w:val="none" w:sz="0" w:space="0" w:color="auto"/>
        <w:right w:val="none" w:sz="0" w:space="0" w:color="auto"/>
      </w:divBdr>
      <w:divsChild>
        <w:div w:id="1720085365">
          <w:marLeft w:val="0"/>
          <w:marRight w:val="0"/>
          <w:marTop w:val="240"/>
          <w:marBottom w:val="120"/>
          <w:divBdr>
            <w:top w:val="none" w:sz="0" w:space="0" w:color="auto"/>
            <w:left w:val="none" w:sz="0" w:space="0" w:color="auto"/>
            <w:bottom w:val="none" w:sz="0" w:space="0" w:color="auto"/>
            <w:right w:val="none" w:sz="0" w:space="0" w:color="auto"/>
          </w:divBdr>
        </w:div>
        <w:div w:id="99182686">
          <w:marLeft w:val="0"/>
          <w:marRight w:val="0"/>
          <w:marTop w:val="240"/>
          <w:marBottom w:val="120"/>
          <w:divBdr>
            <w:top w:val="none" w:sz="0" w:space="0" w:color="auto"/>
            <w:left w:val="none" w:sz="0" w:space="0" w:color="auto"/>
            <w:bottom w:val="none" w:sz="0" w:space="0" w:color="auto"/>
            <w:right w:val="none" w:sz="0" w:space="0" w:color="auto"/>
          </w:divBdr>
        </w:div>
      </w:divsChild>
    </w:div>
    <w:div w:id="88430966">
      <w:bodyDiv w:val="1"/>
      <w:marLeft w:val="0"/>
      <w:marRight w:val="0"/>
      <w:marTop w:val="0"/>
      <w:marBottom w:val="0"/>
      <w:divBdr>
        <w:top w:val="none" w:sz="0" w:space="0" w:color="auto"/>
        <w:left w:val="none" w:sz="0" w:space="0" w:color="auto"/>
        <w:bottom w:val="none" w:sz="0" w:space="0" w:color="auto"/>
        <w:right w:val="none" w:sz="0" w:space="0" w:color="auto"/>
      </w:divBdr>
    </w:div>
    <w:div w:id="101340967">
      <w:bodyDiv w:val="1"/>
      <w:marLeft w:val="0"/>
      <w:marRight w:val="0"/>
      <w:marTop w:val="0"/>
      <w:marBottom w:val="0"/>
      <w:divBdr>
        <w:top w:val="none" w:sz="0" w:space="0" w:color="auto"/>
        <w:left w:val="none" w:sz="0" w:space="0" w:color="auto"/>
        <w:bottom w:val="none" w:sz="0" w:space="0" w:color="auto"/>
        <w:right w:val="none" w:sz="0" w:space="0" w:color="auto"/>
      </w:divBdr>
      <w:divsChild>
        <w:div w:id="1601722136">
          <w:marLeft w:val="0"/>
          <w:marRight w:val="0"/>
          <w:marTop w:val="0"/>
          <w:marBottom w:val="0"/>
          <w:divBdr>
            <w:top w:val="none" w:sz="0" w:space="0" w:color="auto"/>
            <w:left w:val="none" w:sz="0" w:space="0" w:color="auto"/>
            <w:bottom w:val="none" w:sz="0" w:space="0" w:color="auto"/>
            <w:right w:val="none" w:sz="0" w:space="0" w:color="auto"/>
          </w:divBdr>
          <w:divsChild>
            <w:div w:id="1622417569">
              <w:marLeft w:val="0"/>
              <w:marRight w:val="0"/>
              <w:marTop w:val="0"/>
              <w:marBottom w:val="0"/>
              <w:divBdr>
                <w:top w:val="none" w:sz="0" w:space="0" w:color="auto"/>
                <w:left w:val="none" w:sz="0" w:space="0" w:color="auto"/>
                <w:bottom w:val="none" w:sz="0" w:space="0" w:color="auto"/>
                <w:right w:val="none" w:sz="0" w:space="0" w:color="auto"/>
              </w:divBdr>
              <w:divsChild>
                <w:div w:id="1794901165">
                  <w:marLeft w:val="0"/>
                  <w:marRight w:val="0"/>
                  <w:marTop w:val="0"/>
                  <w:marBottom w:val="0"/>
                  <w:divBdr>
                    <w:top w:val="none" w:sz="0" w:space="0" w:color="auto"/>
                    <w:left w:val="none" w:sz="0" w:space="0" w:color="auto"/>
                    <w:bottom w:val="none" w:sz="0" w:space="0" w:color="auto"/>
                    <w:right w:val="none" w:sz="0" w:space="0" w:color="auto"/>
                  </w:divBdr>
                  <w:divsChild>
                    <w:div w:id="832532174">
                      <w:marLeft w:val="0"/>
                      <w:marRight w:val="0"/>
                      <w:marTop w:val="0"/>
                      <w:marBottom w:val="0"/>
                      <w:divBdr>
                        <w:top w:val="none" w:sz="0" w:space="0" w:color="auto"/>
                        <w:left w:val="none" w:sz="0" w:space="0" w:color="auto"/>
                        <w:bottom w:val="none" w:sz="0" w:space="0" w:color="auto"/>
                        <w:right w:val="none" w:sz="0" w:space="0" w:color="auto"/>
                      </w:divBdr>
                    </w:div>
                  </w:divsChild>
                </w:div>
                <w:div w:id="20714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15965">
          <w:marLeft w:val="0"/>
          <w:marRight w:val="0"/>
          <w:marTop w:val="0"/>
          <w:marBottom w:val="0"/>
          <w:divBdr>
            <w:top w:val="none" w:sz="0" w:space="0" w:color="auto"/>
            <w:left w:val="none" w:sz="0" w:space="0" w:color="auto"/>
            <w:bottom w:val="none" w:sz="0" w:space="0" w:color="auto"/>
            <w:right w:val="none" w:sz="0" w:space="0" w:color="auto"/>
          </w:divBdr>
        </w:div>
      </w:divsChild>
    </w:div>
    <w:div w:id="105388118">
      <w:bodyDiv w:val="1"/>
      <w:marLeft w:val="0"/>
      <w:marRight w:val="0"/>
      <w:marTop w:val="0"/>
      <w:marBottom w:val="0"/>
      <w:divBdr>
        <w:top w:val="none" w:sz="0" w:space="0" w:color="auto"/>
        <w:left w:val="none" w:sz="0" w:space="0" w:color="auto"/>
        <w:bottom w:val="none" w:sz="0" w:space="0" w:color="auto"/>
        <w:right w:val="none" w:sz="0" w:space="0" w:color="auto"/>
      </w:divBdr>
      <w:divsChild>
        <w:div w:id="353269375">
          <w:marLeft w:val="0"/>
          <w:marRight w:val="0"/>
          <w:marTop w:val="0"/>
          <w:marBottom w:val="0"/>
          <w:divBdr>
            <w:top w:val="none" w:sz="0" w:space="0" w:color="auto"/>
            <w:left w:val="none" w:sz="0" w:space="0" w:color="auto"/>
            <w:bottom w:val="none" w:sz="0" w:space="0" w:color="auto"/>
            <w:right w:val="none" w:sz="0" w:space="0" w:color="auto"/>
          </w:divBdr>
        </w:div>
      </w:divsChild>
    </w:div>
    <w:div w:id="107240190">
      <w:bodyDiv w:val="1"/>
      <w:marLeft w:val="0"/>
      <w:marRight w:val="0"/>
      <w:marTop w:val="0"/>
      <w:marBottom w:val="0"/>
      <w:divBdr>
        <w:top w:val="none" w:sz="0" w:space="0" w:color="auto"/>
        <w:left w:val="none" w:sz="0" w:space="0" w:color="auto"/>
        <w:bottom w:val="none" w:sz="0" w:space="0" w:color="auto"/>
        <w:right w:val="none" w:sz="0" w:space="0" w:color="auto"/>
      </w:divBdr>
      <w:divsChild>
        <w:div w:id="1447502813">
          <w:marLeft w:val="0"/>
          <w:marRight w:val="0"/>
          <w:marTop w:val="240"/>
          <w:marBottom w:val="120"/>
          <w:divBdr>
            <w:top w:val="none" w:sz="0" w:space="0" w:color="auto"/>
            <w:left w:val="none" w:sz="0" w:space="0" w:color="auto"/>
            <w:bottom w:val="none" w:sz="0" w:space="0" w:color="auto"/>
            <w:right w:val="none" w:sz="0" w:space="0" w:color="auto"/>
          </w:divBdr>
        </w:div>
        <w:div w:id="1485585549">
          <w:marLeft w:val="0"/>
          <w:marRight w:val="0"/>
          <w:marTop w:val="240"/>
          <w:marBottom w:val="120"/>
          <w:divBdr>
            <w:top w:val="none" w:sz="0" w:space="0" w:color="auto"/>
            <w:left w:val="none" w:sz="0" w:space="0" w:color="auto"/>
            <w:bottom w:val="none" w:sz="0" w:space="0" w:color="auto"/>
            <w:right w:val="none" w:sz="0" w:space="0" w:color="auto"/>
          </w:divBdr>
        </w:div>
      </w:divsChild>
    </w:div>
    <w:div w:id="139926024">
      <w:bodyDiv w:val="1"/>
      <w:marLeft w:val="0"/>
      <w:marRight w:val="0"/>
      <w:marTop w:val="0"/>
      <w:marBottom w:val="0"/>
      <w:divBdr>
        <w:top w:val="none" w:sz="0" w:space="0" w:color="auto"/>
        <w:left w:val="none" w:sz="0" w:space="0" w:color="auto"/>
        <w:bottom w:val="none" w:sz="0" w:space="0" w:color="auto"/>
        <w:right w:val="none" w:sz="0" w:space="0" w:color="auto"/>
      </w:divBdr>
      <w:divsChild>
        <w:div w:id="48305291">
          <w:marLeft w:val="0"/>
          <w:marRight w:val="0"/>
          <w:marTop w:val="0"/>
          <w:marBottom w:val="0"/>
          <w:divBdr>
            <w:top w:val="none" w:sz="0" w:space="0" w:color="auto"/>
            <w:left w:val="none" w:sz="0" w:space="0" w:color="auto"/>
            <w:bottom w:val="none" w:sz="0" w:space="0" w:color="auto"/>
            <w:right w:val="none" w:sz="0" w:space="0" w:color="auto"/>
          </w:divBdr>
        </w:div>
        <w:div w:id="878128669">
          <w:marLeft w:val="0"/>
          <w:marRight w:val="0"/>
          <w:marTop w:val="0"/>
          <w:marBottom w:val="0"/>
          <w:divBdr>
            <w:top w:val="none" w:sz="0" w:space="0" w:color="auto"/>
            <w:left w:val="none" w:sz="0" w:space="0" w:color="auto"/>
            <w:bottom w:val="none" w:sz="0" w:space="0" w:color="auto"/>
            <w:right w:val="none" w:sz="0" w:space="0" w:color="auto"/>
          </w:divBdr>
        </w:div>
        <w:div w:id="546793553">
          <w:marLeft w:val="0"/>
          <w:marRight w:val="0"/>
          <w:marTop w:val="0"/>
          <w:marBottom w:val="0"/>
          <w:divBdr>
            <w:top w:val="none" w:sz="0" w:space="0" w:color="auto"/>
            <w:left w:val="none" w:sz="0" w:space="0" w:color="auto"/>
            <w:bottom w:val="none" w:sz="0" w:space="0" w:color="auto"/>
            <w:right w:val="none" w:sz="0" w:space="0" w:color="auto"/>
          </w:divBdr>
        </w:div>
        <w:div w:id="122624029">
          <w:marLeft w:val="0"/>
          <w:marRight w:val="0"/>
          <w:marTop w:val="0"/>
          <w:marBottom w:val="0"/>
          <w:divBdr>
            <w:top w:val="none" w:sz="0" w:space="0" w:color="auto"/>
            <w:left w:val="none" w:sz="0" w:space="0" w:color="auto"/>
            <w:bottom w:val="none" w:sz="0" w:space="0" w:color="auto"/>
            <w:right w:val="none" w:sz="0" w:space="0" w:color="auto"/>
          </w:divBdr>
        </w:div>
        <w:div w:id="406146656">
          <w:marLeft w:val="0"/>
          <w:marRight w:val="0"/>
          <w:marTop w:val="0"/>
          <w:marBottom w:val="0"/>
          <w:divBdr>
            <w:top w:val="none" w:sz="0" w:space="0" w:color="auto"/>
            <w:left w:val="none" w:sz="0" w:space="0" w:color="auto"/>
            <w:bottom w:val="none" w:sz="0" w:space="0" w:color="auto"/>
            <w:right w:val="none" w:sz="0" w:space="0" w:color="auto"/>
          </w:divBdr>
        </w:div>
        <w:div w:id="1615557720">
          <w:marLeft w:val="0"/>
          <w:marRight w:val="0"/>
          <w:marTop w:val="0"/>
          <w:marBottom w:val="0"/>
          <w:divBdr>
            <w:top w:val="none" w:sz="0" w:space="0" w:color="auto"/>
            <w:left w:val="none" w:sz="0" w:space="0" w:color="auto"/>
            <w:bottom w:val="none" w:sz="0" w:space="0" w:color="auto"/>
            <w:right w:val="none" w:sz="0" w:space="0" w:color="auto"/>
          </w:divBdr>
        </w:div>
      </w:divsChild>
    </w:div>
    <w:div w:id="146285001">
      <w:bodyDiv w:val="1"/>
      <w:marLeft w:val="0"/>
      <w:marRight w:val="0"/>
      <w:marTop w:val="0"/>
      <w:marBottom w:val="0"/>
      <w:divBdr>
        <w:top w:val="none" w:sz="0" w:space="0" w:color="auto"/>
        <w:left w:val="none" w:sz="0" w:space="0" w:color="auto"/>
        <w:bottom w:val="none" w:sz="0" w:space="0" w:color="auto"/>
        <w:right w:val="none" w:sz="0" w:space="0" w:color="auto"/>
      </w:divBdr>
    </w:div>
    <w:div w:id="171141924">
      <w:bodyDiv w:val="1"/>
      <w:marLeft w:val="0"/>
      <w:marRight w:val="0"/>
      <w:marTop w:val="0"/>
      <w:marBottom w:val="0"/>
      <w:divBdr>
        <w:top w:val="none" w:sz="0" w:space="0" w:color="auto"/>
        <w:left w:val="none" w:sz="0" w:space="0" w:color="auto"/>
        <w:bottom w:val="none" w:sz="0" w:space="0" w:color="auto"/>
        <w:right w:val="none" w:sz="0" w:space="0" w:color="auto"/>
      </w:divBdr>
      <w:divsChild>
        <w:div w:id="1362317706">
          <w:marLeft w:val="0"/>
          <w:marRight w:val="0"/>
          <w:marTop w:val="240"/>
          <w:marBottom w:val="120"/>
          <w:divBdr>
            <w:top w:val="none" w:sz="0" w:space="0" w:color="auto"/>
            <w:left w:val="none" w:sz="0" w:space="0" w:color="auto"/>
            <w:bottom w:val="none" w:sz="0" w:space="0" w:color="auto"/>
            <w:right w:val="none" w:sz="0" w:space="0" w:color="auto"/>
          </w:divBdr>
        </w:div>
        <w:div w:id="854003406">
          <w:marLeft w:val="0"/>
          <w:marRight w:val="0"/>
          <w:marTop w:val="240"/>
          <w:marBottom w:val="120"/>
          <w:divBdr>
            <w:top w:val="none" w:sz="0" w:space="0" w:color="auto"/>
            <w:left w:val="none" w:sz="0" w:space="0" w:color="auto"/>
            <w:bottom w:val="none" w:sz="0" w:space="0" w:color="auto"/>
            <w:right w:val="none" w:sz="0" w:space="0" w:color="auto"/>
          </w:divBdr>
        </w:div>
      </w:divsChild>
    </w:div>
    <w:div w:id="172964437">
      <w:bodyDiv w:val="1"/>
      <w:marLeft w:val="0"/>
      <w:marRight w:val="0"/>
      <w:marTop w:val="0"/>
      <w:marBottom w:val="0"/>
      <w:divBdr>
        <w:top w:val="none" w:sz="0" w:space="0" w:color="auto"/>
        <w:left w:val="none" w:sz="0" w:space="0" w:color="auto"/>
        <w:bottom w:val="none" w:sz="0" w:space="0" w:color="auto"/>
        <w:right w:val="none" w:sz="0" w:space="0" w:color="auto"/>
      </w:divBdr>
      <w:divsChild>
        <w:div w:id="699203863">
          <w:marLeft w:val="0"/>
          <w:marRight w:val="0"/>
          <w:marTop w:val="0"/>
          <w:marBottom w:val="75"/>
          <w:divBdr>
            <w:top w:val="none" w:sz="0" w:space="0" w:color="auto"/>
            <w:left w:val="none" w:sz="0" w:space="0" w:color="auto"/>
            <w:bottom w:val="none" w:sz="0" w:space="0" w:color="auto"/>
            <w:right w:val="none" w:sz="0" w:space="0" w:color="auto"/>
          </w:divBdr>
          <w:divsChild>
            <w:div w:id="2012367178">
              <w:marLeft w:val="0"/>
              <w:marRight w:val="0"/>
              <w:marTop w:val="0"/>
              <w:marBottom w:val="0"/>
              <w:divBdr>
                <w:top w:val="none" w:sz="0" w:space="0" w:color="auto"/>
                <w:left w:val="none" w:sz="0" w:space="0" w:color="auto"/>
                <w:bottom w:val="none" w:sz="0" w:space="0" w:color="auto"/>
                <w:right w:val="none" w:sz="0" w:space="0" w:color="auto"/>
              </w:divBdr>
            </w:div>
          </w:divsChild>
        </w:div>
        <w:div w:id="1731029161">
          <w:marLeft w:val="0"/>
          <w:marRight w:val="0"/>
          <w:marTop w:val="0"/>
          <w:marBottom w:val="0"/>
          <w:divBdr>
            <w:top w:val="none" w:sz="0" w:space="0" w:color="auto"/>
            <w:left w:val="none" w:sz="0" w:space="0" w:color="auto"/>
            <w:bottom w:val="none" w:sz="0" w:space="0" w:color="auto"/>
            <w:right w:val="none" w:sz="0" w:space="0" w:color="auto"/>
          </w:divBdr>
          <w:divsChild>
            <w:div w:id="1889803449">
              <w:marLeft w:val="0"/>
              <w:marRight w:val="0"/>
              <w:marTop w:val="0"/>
              <w:marBottom w:val="75"/>
              <w:divBdr>
                <w:top w:val="none" w:sz="0" w:space="0" w:color="auto"/>
                <w:left w:val="none" w:sz="0" w:space="0" w:color="auto"/>
                <w:bottom w:val="none" w:sz="0" w:space="0" w:color="auto"/>
                <w:right w:val="none" w:sz="0" w:space="0" w:color="auto"/>
              </w:divBdr>
              <w:divsChild>
                <w:div w:id="1773931747">
                  <w:marLeft w:val="0"/>
                  <w:marRight w:val="0"/>
                  <w:marTop w:val="0"/>
                  <w:marBottom w:val="0"/>
                  <w:divBdr>
                    <w:top w:val="none" w:sz="0" w:space="0" w:color="auto"/>
                    <w:left w:val="none" w:sz="0" w:space="0" w:color="auto"/>
                    <w:bottom w:val="none" w:sz="0" w:space="0" w:color="auto"/>
                    <w:right w:val="none" w:sz="0" w:space="0" w:color="auto"/>
                  </w:divBdr>
                </w:div>
                <w:div w:id="2085106353">
                  <w:marLeft w:val="0"/>
                  <w:marRight w:val="0"/>
                  <w:marTop w:val="0"/>
                  <w:marBottom w:val="0"/>
                  <w:divBdr>
                    <w:top w:val="none" w:sz="0" w:space="0" w:color="auto"/>
                    <w:left w:val="none" w:sz="0" w:space="0" w:color="auto"/>
                    <w:bottom w:val="none" w:sz="0" w:space="0" w:color="auto"/>
                    <w:right w:val="none" w:sz="0" w:space="0" w:color="auto"/>
                  </w:divBdr>
                </w:div>
                <w:div w:id="12619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4601">
          <w:marLeft w:val="0"/>
          <w:marRight w:val="0"/>
          <w:marTop w:val="0"/>
          <w:marBottom w:val="0"/>
          <w:divBdr>
            <w:top w:val="none" w:sz="0" w:space="0" w:color="auto"/>
            <w:left w:val="none" w:sz="0" w:space="0" w:color="auto"/>
            <w:bottom w:val="none" w:sz="0" w:space="0" w:color="auto"/>
            <w:right w:val="none" w:sz="0" w:space="0" w:color="auto"/>
          </w:divBdr>
          <w:divsChild>
            <w:div w:id="9760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5047">
      <w:bodyDiv w:val="1"/>
      <w:marLeft w:val="0"/>
      <w:marRight w:val="0"/>
      <w:marTop w:val="0"/>
      <w:marBottom w:val="0"/>
      <w:divBdr>
        <w:top w:val="none" w:sz="0" w:space="0" w:color="auto"/>
        <w:left w:val="none" w:sz="0" w:space="0" w:color="auto"/>
        <w:bottom w:val="none" w:sz="0" w:space="0" w:color="auto"/>
        <w:right w:val="none" w:sz="0" w:space="0" w:color="auto"/>
      </w:divBdr>
      <w:divsChild>
        <w:div w:id="749162350">
          <w:marLeft w:val="0"/>
          <w:marRight w:val="0"/>
          <w:marTop w:val="240"/>
          <w:marBottom w:val="120"/>
          <w:divBdr>
            <w:top w:val="none" w:sz="0" w:space="0" w:color="auto"/>
            <w:left w:val="none" w:sz="0" w:space="0" w:color="auto"/>
            <w:bottom w:val="none" w:sz="0" w:space="0" w:color="auto"/>
            <w:right w:val="none" w:sz="0" w:space="0" w:color="auto"/>
          </w:divBdr>
        </w:div>
        <w:div w:id="1092043340">
          <w:marLeft w:val="0"/>
          <w:marRight w:val="0"/>
          <w:marTop w:val="240"/>
          <w:marBottom w:val="120"/>
          <w:divBdr>
            <w:top w:val="none" w:sz="0" w:space="0" w:color="auto"/>
            <w:left w:val="none" w:sz="0" w:space="0" w:color="auto"/>
            <w:bottom w:val="none" w:sz="0" w:space="0" w:color="auto"/>
            <w:right w:val="none" w:sz="0" w:space="0" w:color="auto"/>
          </w:divBdr>
        </w:div>
      </w:divsChild>
    </w:div>
    <w:div w:id="183061643">
      <w:bodyDiv w:val="1"/>
      <w:marLeft w:val="0"/>
      <w:marRight w:val="0"/>
      <w:marTop w:val="0"/>
      <w:marBottom w:val="0"/>
      <w:divBdr>
        <w:top w:val="none" w:sz="0" w:space="0" w:color="auto"/>
        <w:left w:val="none" w:sz="0" w:space="0" w:color="auto"/>
        <w:bottom w:val="none" w:sz="0" w:space="0" w:color="auto"/>
        <w:right w:val="none" w:sz="0" w:space="0" w:color="auto"/>
      </w:divBdr>
      <w:divsChild>
        <w:div w:id="538514870">
          <w:marLeft w:val="0"/>
          <w:marRight w:val="0"/>
          <w:marTop w:val="240"/>
          <w:marBottom w:val="120"/>
          <w:divBdr>
            <w:top w:val="none" w:sz="0" w:space="0" w:color="auto"/>
            <w:left w:val="none" w:sz="0" w:space="0" w:color="auto"/>
            <w:bottom w:val="none" w:sz="0" w:space="0" w:color="auto"/>
            <w:right w:val="none" w:sz="0" w:space="0" w:color="auto"/>
          </w:divBdr>
        </w:div>
        <w:div w:id="2139913999">
          <w:marLeft w:val="0"/>
          <w:marRight w:val="0"/>
          <w:marTop w:val="240"/>
          <w:marBottom w:val="120"/>
          <w:divBdr>
            <w:top w:val="none" w:sz="0" w:space="0" w:color="auto"/>
            <w:left w:val="none" w:sz="0" w:space="0" w:color="auto"/>
            <w:bottom w:val="none" w:sz="0" w:space="0" w:color="auto"/>
            <w:right w:val="none" w:sz="0" w:space="0" w:color="auto"/>
          </w:divBdr>
        </w:div>
      </w:divsChild>
    </w:div>
    <w:div w:id="210388059">
      <w:bodyDiv w:val="1"/>
      <w:marLeft w:val="0"/>
      <w:marRight w:val="0"/>
      <w:marTop w:val="0"/>
      <w:marBottom w:val="0"/>
      <w:divBdr>
        <w:top w:val="none" w:sz="0" w:space="0" w:color="auto"/>
        <w:left w:val="none" w:sz="0" w:space="0" w:color="auto"/>
        <w:bottom w:val="none" w:sz="0" w:space="0" w:color="auto"/>
        <w:right w:val="none" w:sz="0" w:space="0" w:color="auto"/>
      </w:divBdr>
      <w:divsChild>
        <w:div w:id="905989270">
          <w:marLeft w:val="0"/>
          <w:marRight w:val="0"/>
          <w:marTop w:val="0"/>
          <w:marBottom w:val="0"/>
          <w:divBdr>
            <w:top w:val="none" w:sz="0" w:space="0" w:color="auto"/>
            <w:left w:val="none" w:sz="0" w:space="0" w:color="auto"/>
            <w:bottom w:val="none" w:sz="0" w:space="0" w:color="auto"/>
            <w:right w:val="none" w:sz="0" w:space="0" w:color="auto"/>
          </w:divBdr>
          <w:divsChild>
            <w:div w:id="1319918763">
              <w:marLeft w:val="0"/>
              <w:marRight w:val="0"/>
              <w:marTop w:val="0"/>
              <w:marBottom w:val="0"/>
              <w:divBdr>
                <w:top w:val="none" w:sz="0" w:space="0" w:color="auto"/>
                <w:left w:val="none" w:sz="0" w:space="0" w:color="auto"/>
                <w:bottom w:val="none" w:sz="0" w:space="0" w:color="auto"/>
                <w:right w:val="none" w:sz="0" w:space="0" w:color="auto"/>
              </w:divBdr>
              <w:divsChild>
                <w:div w:id="1739983879">
                  <w:marLeft w:val="0"/>
                  <w:marRight w:val="0"/>
                  <w:marTop w:val="0"/>
                  <w:marBottom w:val="0"/>
                  <w:divBdr>
                    <w:top w:val="none" w:sz="0" w:space="0" w:color="auto"/>
                    <w:left w:val="none" w:sz="0" w:space="0" w:color="auto"/>
                    <w:bottom w:val="none" w:sz="0" w:space="0" w:color="auto"/>
                    <w:right w:val="none" w:sz="0" w:space="0" w:color="auto"/>
                  </w:divBdr>
                  <w:divsChild>
                    <w:div w:id="51462438">
                      <w:marLeft w:val="0"/>
                      <w:marRight w:val="0"/>
                      <w:marTop w:val="0"/>
                      <w:marBottom w:val="0"/>
                      <w:divBdr>
                        <w:top w:val="none" w:sz="0" w:space="0" w:color="auto"/>
                        <w:left w:val="none" w:sz="0" w:space="0" w:color="auto"/>
                        <w:bottom w:val="none" w:sz="0" w:space="0" w:color="auto"/>
                        <w:right w:val="none" w:sz="0" w:space="0" w:color="auto"/>
                      </w:divBdr>
                    </w:div>
                  </w:divsChild>
                </w:div>
                <w:div w:id="770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29053">
          <w:marLeft w:val="0"/>
          <w:marRight w:val="0"/>
          <w:marTop w:val="0"/>
          <w:marBottom w:val="0"/>
          <w:divBdr>
            <w:top w:val="none" w:sz="0" w:space="0" w:color="auto"/>
            <w:left w:val="none" w:sz="0" w:space="0" w:color="auto"/>
            <w:bottom w:val="none" w:sz="0" w:space="0" w:color="auto"/>
            <w:right w:val="none" w:sz="0" w:space="0" w:color="auto"/>
          </w:divBdr>
        </w:div>
      </w:divsChild>
    </w:div>
    <w:div w:id="211960737">
      <w:bodyDiv w:val="1"/>
      <w:marLeft w:val="0"/>
      <w:marRight w:val="0"/>
      <w:marTop w:val="0"/>
      <w:marBottom w:val="0"/>
      <w:divBdr>
        <w:top w:val="none" w:sz="0" w:space="0" w:color="auto"/>
        <w:left w:val="none" w:sz="0" w:space="0" w:color="auto"/>
        <w:bottom w:val="none" w:sz="0" w:space="0" w:color="auto"/>
        <w:right w:val="none" w:sz="0" w:space="0" w:color="auto"/>
      </w:divBdr>
      <w:divsChild>
        <w:div w:id="2088646263">
          <w:marLeft w:val="0"/>
          <w:marRight w:val="0"/>
          <w:marTop w:val="0"/>
          <w:marBottom w:val="0"/>
          <w:divBdr>
            <w:top w:val="none" w:sz="0" w:space="0" w:color="auto"/>
            <w:left w:val="none" w:sz="0" w:space="0" w:color="auto"/>
            <w:bottom w:val="none" w:sz="0" w:space="0" w:color="auto"/>
            <w:right w:val="none" w:sz="0" w:space="0" w:color="auto"/>
          </w:divBdr>
          <w:divsChild>
            <w:div w:id="1972861690">
              <w:marLeft w:val="0"/>
              <w:marRight w:val="0"/>
              <w:marTop w:val="0"/>
              <w:marBottom w:val="0"/>
              <w:divBdr>
                <w:top w:val="none" w:sz="0" w:space="0" w:color="auto"/>
                <w:left w:val="none" w:sz="0" w:space="0" w:color="auto"/>
                <w:bottom w:val="none" w:sz="0" w:space="0" w:color="auto"/>
                <w:right w:val="none" w:sz="0" w:space="0" w:color="auto"/>
              </w:divBdr>
              <w:divsChild>
                <w:div w:id="12626474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06142159">
          <w:marLeft w:val="0"/>
          <w:marRight w:val="0"/>
          <w:marTop w:val="0"/>
          <w:marBottom w:val="0"/>
          <w:divBdr>
            <w:top w:val="none" w:sz="0" w:space="0" w:color="auto"/>
            <w:left w:val="none" w:sz="0" w:space="0" w:color="auto"/>
            <w:bottom w:val="none" w:sz="0" w:space="0" w:color="auto"/>
            <w:right w:val="none" w:sz="0" w:space="0" w:color="auto"/>
          </w:divBdr>
          <w:divsChild>
            <w:div w:id="1474911387">
              <w:marLeft w:val="0"/>
              <w:marRight w:val="0"/>
              <w:marTop w:val="0"/>
              <w:marBottom w:val="0"/>
              <w:divBdr>
                <w:top w:val="none" w:sz="0" w:space="0" w:color="auto"/>
                <w:left w:val="none" w:sz="0" w:space="0" w:color="auto"/>
                <w:bottom w:val="none" w:sz="0" w:space="0" w:color="auto"/>
                <w:right w:val="none" w:sz="0" w:space="0" w:color="auto"/>
              </w:divBdr>
              <w:divsChild>
                <w:div w:id="1503649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88027335">
          <w:marLeft w:val="0"/>
          <w:marRight w:val="0"/>
          <w:marTop w:val="0"/>
          <w:marBottom w:val="0"/>
          <w:divBdr>
            <w:top w:val="none" w:sz="0" w:space="0" w:color="auto"/>
            <w:left w:val="none" w:sz="0" w:space="0" w:color="auto"/>
            <w:bottom w:val="none" w:sz="0" w:space="0" w:color="auto"/>
            <w:right w:val="none" w:sz="0" w:space="0" w:color="auto"/>
          </w:divBdr>
          <w:divsChild>
            <w:div w:id="896865758">
              <w:marLeft w:val="0"/>
              <w:marRight w:val="0"/>
              <w:marTop w:val="0"/>
              <w:marBottom w:val="0"/>
              <w:divBdr>
                <w:top w:val="none" w:sz="0" w:space="0" w:color="auto"/>
                <w:left w:val="none" w:sz="0" w:space="0" w:color="auto"/>
                <w:bottom w:val="none" w:sz="0" w:space="0" w:color="auto"/>
                <w:right w:val="none" w:sz="0" w:space="0" w:color="auto"/>
              </w:divBdr>
              <w:divsChild>
                <w:div w:id="15178879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46763015">
          <w:marLeft w:val="0"/>
          <w:marRight w:val="0"/>
          <w:marTop w:val="0"/>
          <w:marBottom w:val="0"/>
          <w:divBdr>
            <w:top w:val="none" w:sz="0" w:space="0" w:color="auto"/>
            <w:left w:val="none" w:sz="0" w:space="0" w:color="auto"/>
            <w:bottom w:val="none" w:sz="0" w:space="0" w:color="auto"/>
            <w:right w:val="none" w:sz="0" w:space="0" w:color="auto"/>
          </w:divBdr>
          <w:divsChild>
            <w:div w:id="1789932959">
              <w:marLeft w:val="0"/>
              <w:marRight w:val="0"/>
              <w:marTop w:val="0"/>
              <w:marBottom w:val="0"/>
              <w:divBdr>
                <w:top w:val="none" w:sz="0" w:space="0" w:color="auto"/>
                <w:left w:val="none" w:sz="0" w:space="0" w:color="auto"/>
                <w:bottom w:val="none" w:sz="0" w:space="0" w:color="auto"/>
                <w:right w:val="none" w:sz="0" w:space="0" w:color="auto"/>
              </w:divBdr>
              <w:divsChild>
                <w:div w:id="4179897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13081865">
          <w:marLeft w:val="0"/>
          <w:marRight w:val="0"/>
          <w:marTop w:val="0"/>
          <w:marBottom w:val="0"/>
          <w:divBdr>
            <w:top w:val="none" w:sz="0" w:space="0" w:color="auto"/>
            <w:left w:val="none" w:sz="0" w:space="0" w:color="auto"/>
            <w:bottom w:val="none" w:sz="0" w:space="0" w:color="auto"/>
            <w:right w:val="none" w:sz="0" w:space="0" w:color="auto"/>
          </w:divBdr>
          <w:divsChild>
            <w:div w:id="188116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6437">
      <w:bodyDiv w:val="1"/>
      <w:marLeft w:val="0"/>
      <w:marRight w:val="0"/>
      <w:marTop w:val="0"/>
      <w:marBottom w:val="0"/>
      <w:divBdr>
        <w:top w:val="none" w:sz="0" w:space="0" w:color="auto"/>
        <w:left w:val="none" w:sz="0" w:space="0" w:color="auto"/>
        <w:bottom w:val="none" w:sz="0" w:space="0" w:color="auto"/>
        <w:right w:val="none" w:sz="0" w:space="0" w:color="auto"/>
      </w:divBdr>
    </w:div>
    <w:div w:id="228467012">
      <w:bodyDiv w:val="1"/>
      <w:marLeft w:val="0"/>
      <w:marRight w:val="0"/>
      <w:marTop w:val="0"/>
      <w:marBottom w:val="0"/>
      <w:divBdr>
        <w:top w:val="none" w:sz="0" w:space="0" w:color="auto"/>
        <w:left w:val="none" w:sz="0" w:space="0" w:color="auto"/>
        <w:bottom w:val="none" w:sz="0" w:space="0" w:color="auto"/>
        <w:right w:val="none" w:sz="0" w:space="0" w:color="auto"/>
      </w:divBdr>
      <w:divsChild>
        <w:div w:id="1962763811">
          <w:marLeft w:val="0"/>
          <w:marRight w:val="0"/>
          <w:marTop w:val="240"/>
          <w:marBottom w:val="120"/>
          <w:divBdr>
            <w:top w:val="none" w:sz="0" w:space="0" w:color="auto"/>
            <w:left w:val="none" w:sz="0" w:space="0" w:color="auto"/>
            <w:bottom w:val="none" w:sz="0" w:space="0" w:color="auto"/>
            <w:right w:val="none" w:sz="0" w:space="0" w:color="auto"/>
          </w:divBdr>
        </w:div>
        <w:div w:id="2085296413">
          <w:marLeft w:val="0"/>
          <w:marRight w:val="0"/>
          <w:marTop w:val="240"/>
          <w:marBottom w:val="120"/>
          <w:divBdr>
            <w:top w:val="none" w:sz="0" w:space="0" w:color="auto"/>
            <w:left w:val="none" w:sz="0" w:space="0" w:color="auto"/>
            <w:bottom w:val="none" w:sz="0" w:space="0" w:color="auto"/>
            <w:right w:val="none" w:sz="0" w:space="0" w:color="auto"/>
          </w:divBdr>
        </w:div>
      </w:divsChild>
    </w:div>
    <w:div w:id="235163784">
      <w:bodyDiv w:val="1"/>
      <w:marLeft w:val="0"/>
      <w:marRight w:val="0"/>
      <w:marTop w:val="0"/>
      <w:marBottom w:val="0"/>
      <w:divBdr>
        <w:top w:val="none" w:sz="0" w:space="0" w:color="auto"/>
        <w:left w:val="none" w:sz="0" w:space="0" w:color="auto"/>
        <w:bottom w:val="none" w:sz="0" w:space="0" w:color="auto"/>
        <w:right w:val="none" w:sz="0" w:space="0" w:color="auto"/>
      </w:divBdr>
      <w:divsChild>
        <w:div w:id="566454145">
          <w:marLeft w:val="0"/>
          <w:marRight w:val="0"/>
          <w:marTop w:val="0"/>
          <w:marBottom w:val="0"/>
          <w:divBdr>
            <w:top w:val="none" w:sz="0" w:space="0" w:color="auto"/>
            <w:left w:val="none" w:sz="0" w:space="0" w:color="auto"/>
            <w:bottom w:val="none" w:sz="0" w:space="0" w:color="auto"/>
            <w:right w:val="none" w:sz="0" w:space="0" w:color="auto"/>
          </w:divBdr>
        </w:div>
        <w:div w:id="2044597573">
          <w:marLeft w:val="0"/>
          <w:marRight w:val="0"/>
          <w:marTop w:val="0"/>
          <w:marBottom w:val="0"/>
          <w:divBdr>
            <w:top w:val="none" w:sz="0" w:space="0" w:color="auto"/>
            <w:left w:val="none" w:sz="0" w:space="0" w:color="auto"/>
            <w:bottom w:val="none" w:sz="0" w:space="0" w:color="auto"/>
            <w:right w:val="none" w:sz="0" w:space="0" w:color="auto"/>
          </w:divBdr>
        </w:div>
        <w:div w:id="189414148">
          <w:marLeft w:val="0"/>
          <w:marRight w:val="0"/>
          <w:marTop w:val="0"/>
          <w:marBottom w:val="0"/>
          <w:divBdr>
            <w:top w:val="none" w:sz="0" w:space="0" w:color="auto"/>
            <w:left w:val="none" w:sz="0" w:space="0" w:color="auto"/>
            <w:bottom w:val="none" w:sz="0" w:space="0" w:color="auto"/>
            <w:right w:val="none" w:sz="0" w:space="0" w:color="auto"/>
          </w:divBdr>
        </w:div>
        <w:div w:id="308559043">
          <w:marLeft w:val="0"/>
          <w:marRight w:val="0"/>
          <w:marTop w:val="0"/>
          <w:marBottom w:val="0"/>
          <w:divBdr>
            <w:top w:val="none" w:sz="0" w:space="0" w:color="auto"/>
            <w:left w:val="none" w:sz="0" w:space="0" w:color="auto"/>
            <w:bottom w:val="none" w:sz="0" w:space="0" w:color="auto"/>
            <w:right w:val="none" w:sz="0" w:space="0" w:color="auto"/>
          </w:divBdr>
        </w:div>
        <w:div w:id="674264711">
          <w:marLeft w:val="0"/>
          <w:marRight w:val="0"/>
          <w:marTop w:val="0"/>
          <w:marBottom w:val="0"/>
          <w:divBdr>
            <w:top w:val="none" w:sz="0" w:space="0" w:color="auto"/>
            <w:left w:val="none" w:sz="0" w:space="0" w:color="auto"/>
            <w:bottom w:val="none" w:sz="0" w:space="0" w:color="auto"/>
            <w:right w:val="none" w:sz="0" w:space="0" w:color="auto"/>
          </w:divBdr>
        </w:div>
        <w:div w:id="917324935">
          <w:marLeft w:val="0"/>
          <w:marRight w:val="0"/>
          <w:marTop w:val="0"/>
          <w:marBottom w:val="0"/>
          <w:divBdr>
            <w:top w:val="none" w:sz="0" w:space="0" w:color="auto"/>
            <w:left w:val="none" w:sz="0" w:space="0" w:color="auto"/>
            <w:bottom w:val="none" w:sz="0" w:space="0" w:color="auto"/>
            <w:right w:val="none" w:sz="0" w:space="0" w:color="auto"/>
          </w:divBdr>
        </w:div>
      </w:divsChild>
    </w:div>
    <w:div w:id="239562828">
      <w:bodyDiv w:val="1"/>
      <w:marLeft w:val="0"/>
      <w:marRight w:val="0"/>
      <w:marTop w:val="0"/>
      <w:marBottom w:val="0"/>
      <w:divBdr>
        <w:top w:val="none" w:sz="0" w:space="0" w:color="auto"/>
        <w:left w:val="none" w:sz="0" w:space="0" w:color="auto"/>
        <w:bottom w:val="none" w:sz="0" w:space="0" w:color="auto"/>
        <w:right w:val="none" w:sz="0" w:space="0" w:color="auto"/>
      </w:divBdr>
    </w:div>
    <w:div w:id="264505963">
      <w:bodyDiv w:val="1"/>
      <w:marLeft w:val="0"/>
      <w:marRight w:val="0"/>
      <w:marTop w:val="0"/>
      <w:marBottom w:val="0"/>
      <w:divBdr>
        <w:top w:val="none" w:sz="0" w:space="0" w:color="auto"/>
        <w:left w:val="none" w:sz="0" w:space="0" w:color="auto"/>
        <w:bottom w:val="none" w:sz="0" w:space="0" w:color="auto"/>
        <w:right w:val="none" w:sz="0" w:space="0" w:color="auto"/>
      </w:divBdr>
    </w:div>
    <w:div w:id="272515395">
      <w:bodyDiv w:val="1"/>
      <w:marLeft w:val="0"/>
      <w:marRight w:val="0"/>
      <w:marTop w:val="0"/>
      <w:marBottom w:val="0"/>
      <w:divBdr>
        <w:top w:val="none" w:sz="0" w:space="0" w:color="auto"/>
        <w:left w:val="none" w:sz="0" w:space="0" w:color="auto"/>
        <w:bottom w:val="none" w:sz="0" w:space="0" w:color="auto"/>
        <w:right w:val="none" w:sz="0" w:space="0" w:color="auto"/>
      </w:divBdr>
      <w:divsChild>
        <w:div w:id="823937114">
          <w:marLeft w:val="0"/>
          <w:marRight w:val="0"/>
          <w:marTop w:val="240"/>
          <w:marBottom w:val="120"/>
          <w:divBdr>
            <w:top w:val="none" w:sz="0" w:space="0" w:color="auto"/>
            <w:left w:val="none" w:sz="0" w:space="0" w:color="auto"/>
            <w:bottom w:val="none" w:sz="0" w:space="0" w:color="auto"/>
            <w:right w:val="none" w:sz="0" w:space="0" w:color="auto"/>
          </w:divBdr>
        </w:div>
        <w:div w:id="805196583">
          <w:marLeft w:val="0"/>
          <w:marRight w:val="0"/>
          <w:marTop w:val="240"/>
          <w:marBottom w:val="120"/>
          <w:divBdr>
            <w:top w:val="none" w:sz="0" w:space="0" w:color="auto"/>
            <w:left w:val="none" w:sz="0" w:space="0" w:color="auto"/>
            <w:bottom w:val="none" w:sz="0" w:space="0" w:color="auto"/>
            <w:right w:val="none" w:sz="0" w:space="0" w:color="auto"/>
          </w:divBdr>
        </w:div>
      </w:divsChild>
    </w:div>
    <w:div w:id="297758131">
      <w:bodyDiv w:val="1"/>
      <w:marLeft w:val="0"/>
      <w:marRight w:val="0"/>
      <w:marTop w:val="0"/>
      <w:marBottom w:val="0"/>
      <w:divBdr>
        <w:top w:val="none" w:sz="0" w:space="0" w:color="auto"/>
        <w:left w:val="none" w:sz="0" w:space="0" w:color="auto"/>
        <w:bottom w:val="none" w:sz="0" w:space="0" w:color="auto"/>
        <w:right w:val="none" w:sz="0" w:space="0" w:color="auto"/>
      </w:divBdr>
    </w:div>
    <w:div w:id="306782726">
      <w:bodyDiv w:val="1"/>
      <w:marLeft w:val="0"/>
      <w:marRight w:val="0"/>
      <w:marTop w:val="0"/>
      <w:marBottom w:val="0"/>
      <w:divBdr>
        <w:top w:val="none" w:sz="0" w:space="0" w:color="auto"/>
        <w:left w:val="none" w:sz="0" w:space="0" w:color="auto"/>
        <w:bottom w:val="none" w:sz="0" w:space="0" w:color="auto"/>
        <w:right w:val="none" w:sz="0" w:space="0" w:color="auto"/>
      </w:divBdr>
      <w:divsChild>
        <w:div w:id="256452442">
          <w:marLeft w:val="0"/>
          <w:marRight w:val="0"/>
          <w:marTop w:val="240"/>
          <w:marBottom w:val="120"/>
          <w:divBdr>
            <w:top w:val="none" w:sz="0" w:space="0" w:color="auto"/>
            <w:left w:val="none" w:sz="0" w:space="0" w:color="auto"/>
            <w:bottom w:val="none" w:sz="0" w:space="0" w:color="auto"/>
            <w:right w:val="none" w:sz="0" w:space="0" w:color="auto"/>
          </w:divBdr>
        </w:div>
        <w:div w:id="700981941">
          <w:marLeft w:val="0"/>
          <w:marRight w:val="0"/>
          <w:marTop w:val="240"/>
          <w:marBottom w:val="120"/>
          <w:divBdr>
            <w:top w:val="none" w:sz="0" w:space="0" w:color="auto"/>
            <w:left w:val="none" w:sz="0" w:space="0" w:color="auto"/>
            <w:bottom w:val="none" w:sz="0" w:space="0" w:color="auto"/>
            <w:right w:val="none" w:sz="0" w:space="0" w:color="auto"/>
          </w:divBdr>
        </w:div>
      </w:divsChild>
    </w:div>
    <w:div w:id="321392439">
      <w:bodyDiv w:val="1"/>
      <w:marLeft w:val="0"/>
      <w:marRight w:val="0"/>
      <w:marTop w:val="0"/>
      <w:marBottom w:val="0"/>
      <w:divBdr>
        <w:top w:val="none" w:sz="0" w:space="0" w:color="auto"/>
        <w:left w:val="none" w:sz="0" w:space="0" w:color="auto"/>
        <w:bottom w:val="none" w:sz="0" w:space="0" w:color="auto"/>
        <w:right w:val="none" w:sz="0" w:space="0" w:color="auto"/>
      </w:divBdr>
    </w:div>
    <w:div w:id="341931591">
      <w:bodyDiv w:val="1"/>
      <w:marLeft w:val="0"/>
      <w:marRight w:val="0"/>
      <w:marTop w:val="0"/>
      <w:marBottom w:val="0"/>
      <w:divBdr>
        <w:top w:val="none" w:sz="0" w:space="0" w:color="auto"/>
        <w:left w:val="none" w:sz="0" w:space="0" w:color="auto"/>
        <w:bottom w:val="none" w:sz="0" w:space="0" w:color="auto"/>
        <w:right w:val="none" w:sz="0" w:space="0" w:color="auto"/>
      </w:divBdr>
      <w:divsChild>
        <w:div w:id="37630124">
          <w:marLeft w:val="0"/>
          <w:marRight w:val="0"/>
          <w:marTop w:val="240"/>
          <w:marBottom w:val="120"/>
          <w:divBdr>
            <w:top w:val="none" w:sz="0" w:space="0" w:color="auto"/>
            <w:left w:val="none" w:sz="0" w:space="0" w:color="auto"/>
            <w:bottom w:val="none" w:sz="0" w:space="0" w:color="auto"/>
            <w:right w:val="none" w:sz="0" w:space="0" w:color="auto"/>
          </w:divBdr>
        </w:div>
        <w:div w:id="1147472534">
          <w:marLeft w:val="0"/>
          <w:marRight w:val="0"/>
          <w:marTop w:val="240"/>
          <w:marBottom w:val="120"/>
          <w:divBdr>
            <w:top w:val="none" w:sz="0" w:space="0" w:color="auto"/>
            <w:left w:val="none" w:sz="0" w:space="0" w:color="auto"/>
            <w:bottom w:val="none" w:sz="0" w:space="0" w:color="auto"/>
            <w:right w:val="none" w:sz="0" w:space="0" w:color="auto"/>
          </w:divBdr>
        </w:div>
      </w:divsChild>
    </w:div>
    <w:div w:id="342441334">
      <w:bodyDiv w:val="1"/>
      <w:marLeft w:val="0"/>
      <w:marRight w:val="0"/>
      <w:marTop w:val="0"/>
      <w:marBottom w:val="0"/>
      <w:divBdr>
        <w:top w:val="none" w:sz="0" w:space="0" w:color="auto"/>
        <w:left w:val="none" w:sz="0" w:space="0" w:color="auto"/>
        <w:bottom w:val="none" w:sz="0" w:space="0" w:color="auto"/>
        <w:right w:val="none" w:sz="0" w:space="0" w:color="auto"/>
      </w:divBdr>
      <w:divsChild>
        <w:div w:id="1692950792">
          <w:marLeft w:val="0"/>
          <w:marRight w:val="0"/>
          <w:marTop w:val="0"/>
          <w:marBottom w:val="0"/>
          <w:divBdr>
            <w:top w:val="none" w:sz="0" w:space="0" w:color="auto"/>
            <w:left w:val="none" w:sz="0" w:space="0" w:color="auto"/>
            <w:bottom w:val="none" w:sz="0" w:space="0" w:color="auto"/>
            <w:right w:val="none" w:sz="0" w:space="0" w:color="auto"/>
          </w:divBdr>
          <w:divsChild>
            <w:div w:id="18238562">
              <w:marLeft w:val="0"/>
              <w:marRight w:val="0"/>
              <w:marTop w:val="0"/>
              <w:marBottom w:val="0"/>
              <w:divBdr>
                <w:top w:val="none" w:sz="0" w:space="0" w:color="auto"/>
                <w:left w:val="none" w:sz="0" w:space="0" w:color="auto"/>
                <w:bottom w:val="none" w:sz="0" w:space="0" w:color="auto"/>
                <w:right w:val="none" w:sz="0" w:space="0" w:color="auto"/>
              </w:divBdr>
              <w:divsChild>
                <w:div w:id="710568820">
                  <w:marLeft w:val="0"/>
                  <w:marRight w:val="0"/>
                  <w:marTop w:val="0"/>
                  <w:marBottom w:val="0"/>
                  <w:divBdr>
                    <w:top w:val="none" w:sz="0" w:space="0" w:color="auto"/>
                    <w:left w:val="none" w:sz="0" w:space="0" w:color="auto"/>
                    <w:bottom w:val="none" w:sz="0" w:space="0" w:color="auto"/>
                    <w:right w:val="none" w:sz="0" w:space="0" w:color="auto"/>
                  </w:divBdr>
                </w:div>
                <w:div w:id="1050959663">
                  <w:marLeft w:val="0"/>
                  <w:marRight w:val="0"/>
                  <w:marTop w:val="0"/>
                  <w:marBottom w:val="0"/>
                  <w:divBdr>
                    <w:top w:val="none" w:sz="0" w:space="0" w:color="auto"/>
                    <w:left w:val="none" w:sz="0" w:space="0" w:color="auto"/>
                    <w:bottom w:val="none" w:sz="0" w:space="0" w:color="auto"/>
                    <w:right w:val="none" w:sz="0" w:space="0" w:color="auto"/>
                  </w:divBdr>
                  <w:divsChild>
                    <w:div w:id="1904635950">
                      <w:marLeft w:val="0"/>
                      <w:marRight w:val="0"/>
                      <w:marTop w:val="0"/>
                      <w:marBottom w:val="0"/>
                      <w:divBdr>
                        <w:top w:val="none" w:sz="0" w:space="0" w:color="auto"/>
                        <w:left w:val="none" w:sz="0" w:space="0" w:color="auto"/>
                        <w:bottom w:val="none" w:sz="0" w:space="0" w:color="auto"/>
                        <w:right w:val="none" w:sz="0" w:space="0" w:color="auto"/>
                      </w:divBdr>
                    </w:div>
                  </w:divsChild>
                </w:div>
                <w:div w:id="775173260">
                  <w:marLeft w:val="0"/>
                  <w:marRight w:val="0"/>
                  <w:marTop w:val="0"/>
                  <w:marBottom w:val="0"/>
                  <w:divBdr>
                    <w:top w:val="none" w:sz="0" w:space="0" w:color="auto"/>
                    <w:left w:val="none" w:sz="0" w:space="0" w:color="auto"/>
                    <w:bottom w:val="none" w:sz="0" w:space="0" w:color="auto"/>
                    <w:right w:val="none" w:sz="0" w:space="0" w:color="auto"/>
                  </w:divBdr>
                </w:div>
                <w:div w:id="17794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08084">
      <w:bodyDiv w:val="1"/>
      <w:marLeft w:val="0"/>
      <w:marRight w:val="0"/>
      <w:marTop w:val="0"/>
      <w:marBottom w:val="0"/>
      <w:divBdr>
        <w:top w:val="none" w:sz="0" w:space="0" w:color="auto"/>
        <w:left w:val="none" w:sz="0" w:space="0" w:color="auto"/>
        <w:bottom w:val="none" w:sz="0" w:space="0" w:color="auto"/>
        <w:right w:val="none" w:sz="0" w:space="0" w:color="auto"/>
      </w:divBdr>
      <w:divsChild>
        <w:div w:id="1968854169">
          <w:marLeft w:val="0"/>
          <w:marRight w:val="0"/>
          <w:marTop w:val="0"/>
          <w:marBottom w:val="0"/>
          <w:divBdr>
            <w:top w:val="none" w:sz="0" w:space="0" w:color="auto"/>
            <w:left w:val="none" w:sz="0" w:space="0" w:color="auto"/>
            <w:bottom w:val="none" w:sz="0" w:space="0" w:color="auto"/>
            <w:right w:val="none" w:sz="0" w:space="0" w:color="auto"/>
          </w:divBdr>
          <w:divsChild>
            <w:div w:id="477501895">
              <w:marLeft w:val="0"/>
              <w:marRight w:val="0"/>
              <w:marTop w:val="0"/>
              <w:marBottom w:val="0"/>
              <w:divBdr>
                <w:top w:val="none" w:sz="0" w:space="0" w:color="auto"/>
                <w:left w:val="none" w:sz="0" w:space="0" w:color="auto"/>
                <w:bottom w:val="none" w:sz="0" w:space="0" w:color="auto"/>
                <w:right w:val="none" w:sz="0" w:space="0" w:color="auto"/>
              </w:divBdr>
              <w:divsChild>
                <w:div w:id="697126698">
                  <w:marLeft w:val="0"/>
                  <w:marRight w:val="0"/>
                  <w:marTop w:val="0"/>
                  <w:marBottom w:val="0"/>
                  <w:divBdr>
                    <w:top w:val="none" w:sz="0" w:space="0" w:color="auto"/>
                    <w:left w:val="none" w:sz="0" w:space="0" w:color="auto"/>
                    <w:bottom w:val="none" w:sz="0" w:space="0" w:color="auto"/>
                    <w:right w:val="none" w:sz="0" w:space="0" w:color="auto"/>
                  </w:divBdr>
                </w:div>
                <w:div w:id="257912286">
                  <w:marLeft w:val="0"/>
                  <w:marRight w:val="0"/>
                  <w:marTop w:val="0"/>
                  <w:marBottom w:val="0"/>
                  <w:divBdr>
                    <w:top w:val="none" w:sz="0" w:space="0" w:color="auto"/>
                    <w:left w:val="none" w:sz="0" w:space="0" w:color="auto"/>
                    <w:bottom w:val="none" w:sz="0" w:space="0" w:color="auto"/>
                    <w:right w:val="none" w:sz="0" w:space="0" w:color="auto"/>
                  </w:divBdr>
                  <w:divsChild>
                    <w:div w:id="770396052">
                      <w:marLeft w:val="0"/>
                      <w:marRight w:val="0"/>
                      <w:marTop w:val="0"/>
                      <w:marBottom w:val="0"/>
                      <w:divBdr>
                        <w:top w:val="none" w:sz="0" w:space="0" w:color="auto"/>
                        <w:left w:val="none" w:sz="0" w:space="0" w:color="auto"/>
                        <w:bottom w:val="none" w:sz="0" w:space="0" w:color="auto"/>
                        <w:right w:val="none" w:sz="0" w:space="0" w:color="auto"/>
                      </w:divBdr>
                    </w:div>
                  </w:divsChild>
                </w:div>
                <w:div w:id="814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15582">
      <w:bodyDiv w:val="1"/>
      <w:marLeft w:val="0"/>
      <w:marRight w:val="0"/>
      <w:marTop w:val="0"/>
      <w:marBottom w:val="0"/>
      <w:divBdr>
        <w:top w:val="none" w:sz="0" w:space="0" w:color="auto"/>
        <w:left w:val="none" w:sz="0" w:space="0" w:color="auto"/>
        <w:bottom w:val="none" w:sz="0" w:space="0" w:color="auto"/>
        <w:right w:val="none" w:sz="0" w:space="0" w:color="auto"/>
      </w:divBdr>
      <w:divsChild>
        <w:div w:id="2113285183">
          <w:marLeft w:val="0"/>
          <w:marRight w:val="0"/>
          <w:marTop w:val="0"/>
          <w:marBottom w:val="0"/>
          <w:divBdr>
            <w:top w:val="none" w:sz="0" w:space="0" w:color="auto"/>
            <w:left w:val="none" w:sz="0" w:space="0" w:color="auto"/>
            <w:bottom w:val="none" w:sz="0" w:space="0" w:color="auto"/>
            <w:right w:val="none" w:sz="0" w:space="0" w:color="auto"/>
          </w:divBdr>
        </w:div>
        <w:div w:id="1922400110">
          <w:marLeft w:val="0"/>
          <w:marRight w:val="0"/>
          <w:marTop w:val="0"/>
          <w:marBottom w:val="0"/>
          <w:divBdr>
            <w:top w:val="none" w:sz="0" w:space="0" w:color="auto"/>
            <w:left w:val="none" w:sz="0" w:space="0" w:color="auto"/>
            <w:bottom w:val="none" w:sz="0" w:space="0" w:color="auto"/>
            <w:right w:val="none" w:sz="0" w:space="0" w:color="auto"/>
          </w:divBdr>
        </w:div>
        <w:div w:id="1396928289">
          <w:marLeft w:val="0"/>
          <w:marRight w:val="0"/>
          <w:marTop w:val="0"/>
          <w:marBottom w:val="0"/>
          <w:divBdr>
            <w:top w:val="none" w:sz="0" w:space="0" w:color="auto"/>
            <w:left w:val="none" w:sz="0" w:space="0" w:color="auto"/>
            <w:bottom w:val="none" w:sz="0" w:space="0" w:color="auto"/>
            <w:right w:val="none" w:sz="0" w:space="0" w:color="auto"/>
          </w:divBdr>
        </w:div>
        <w:div w:id="2072339089">
          <w:marLeft w:val="0"/>
          <w:marRight w:val="0"/>
          <w:marTop w:val="0"/>
          <w:marBottom w:val="0"/>
          <w:divBdr>
            <w:top w:val="none" w:sz="0" w:space="0" w:color="auto"/>
            <w:left w:val="none" w:sz="0" w:space="0" w:color="auto"/>
            <w:bottom w:val="none" w:sz="0" w:space="0" w:color="auto"/>
            <w:right w:val="none" w:sz="0" w:space="0" w:color="auto"/>
          </w:divBdr>
        </w:div>
        <w:div w:id="1850483868">
          <w:marLeft w:val="0"/>
          <w:marRight w:val="0"/>
          <w:marTop w:val="0"/>
          <w:marBottom w:val="0"/>
          <w:divBdr>
            <w:top w:val="none" w:sz="0" w:space="0" w:color="auto"/>
            <w:left w:val="none" w:sz="0" w:space="0" w:color="auto"/>
            <w:bottom w:val="none" w:sz="0" w:space="0" w:color="auto"/>
            <w:right w:val="none" w:sz="0" w:space="0" w:color="auto"/>
          </w:divBdr>
        </w:div>
      </w:divsChild>
    </w:div>
    <w:div w:id="373965066">
      <w:bodyDiv w:val="1"/>
      <w:marLeft w:val="0"/>
      <w:marRight w:val="0"/>
      <w:marTop w:val="0"/>
      <w:marBottom w:val="0"/>
      <w:divBdr>
        <w:top w:val="none" w:sz="0" w:space="0" w:color="auto"/>
        <w:left w:val="none" w:sz="0" w:space="0" w:color="auto"/>
        <w:bottom w:val="none" w:sz="0" w:space="0" w:color="auto"/>
        <w:right w:val="none" w:sz="0" w:space="0" w:color="auto"/>
      </w:divBdr>
    </w:div>
    <w:div w:id="374546239">
      <w:bodyDiv w:val="1"/>
      <w:marLeft w:val="0"/>
      <w:marRight w:val="0"/>
      <w:marTop w:val="0"/>
      <w:marBottom w:val="0"/>
      <w:divBdr>
        <w:top w:val="none" w:sz="0" w:space="0" w:color="auto"/>
        <w:left w:val="none" w:sz="0" w:space="0" w:color="auto"/>
        <w:bottom w:val="none" w:sz="0" w:space="0" w:color="auto"/>
        <w:right w:val="none" w:sz="0" w:space="0" w:color="auto"/>
      </w:divBdr>
    </w:div>
    <w:div w:id="375473902">
      <w:bodyDiv w:val="1"/>
      <w:marLeft w:val="0"/>
      <w:marRight w:val="0"/>
      <w:marTop w:val="0"/>
      <w:marBottom w:val="0"/>
      <w:divBdr>
        <w:top w:val="none" w:sz="0" w:space="0" w:color="auto"/>
        <w:left w:val="none" w:sz="0" w:space="0" w:color="auto"/>
        <w:bottom w:val="none" w:sz="0" w:space="0" w:color="auto"/>
        <w:right w:val="none" w:sz="0" w:space="0" w:color="auto"/>
      </w:divBdr>
    </w:div>
    <w:div w:id="377322946">
      <w:bodyDiv w:val="1"/>
      <w:marLeft w:val="0"/>
      <w:marRight w:val="0"/>
      <w:marTop w:val="0"/>
      <w:marBottom w:val="0"/>
      <w:divBdr>
        <w:top w:val="none" w:sz="0" w:space="0" w:color="auto"/>
        <w:left w:val="none" w:sz="0" w:space="0" w:color="auto"/>
        <w:bottom w:val="none" w:sz="0" w:space="0" w:color="auto"/>
        <w:right w:val="none" w:sz="0" w:space="0" w:color="auto"/>
      </w:divBdr>
    </w:div>
    <w:div w:id="382022083">
      <w:bodyDiv w:val="1"/>
      <w:marLeft w:val="0"/>
      <w:marRight w:val="0"/>
      <w:marTop w:val="0"/>
      <w:marBottom w:val="0"/>
      <w:divBdr>
        <w:top w:val="none" w:sz="0" w:space="0" w:color="auto"/>
        <w:left w:val="none" w:sz="0" w:space="0" w:color="auto"/>
        <w:bottom w:val="none" w:sz="0" w:space="0" w:color="auto"/>
        <w:right w:val="none" w:sz="0" w:space="0" w:color="auto"/>
      </w:divBdr>
      <w:divsChild>
        <w:div w:id="100076079">
          <w:marLeft w:val="0"/>
          <w:marRight w:val="0"/>
          <w:marTop w:val="240"/>
          <w:marBottom w:val="120"/>
          <w:divBdr>
            <w:top w:val="none" w:sz="0" w:space="0" w:color="auto"/>
            <w:left w:val="none" w:sz="0" w:space="0" w:color="auto"/>
            <w:bottom w:val="none" w:sz="0" w:space="0" w:color="auto"/>
            <w:right w:val="none" w:sz="0" w:space="0" w:color="auto"/>
          </w:divBdr>
        </w:div>
        <w:div w:id="691029628">
          <w:marLeft w:val="0"/>
          <w:marRight w:val="0"/>
          <w:marTop w:val="240"/>
          <w:marBottom w:val="120"/>
          <w:divBdr>
            <w:top w:val="none" w:sz="0" w:space="0" w:color="auto"/>
            <w:left w:val="none" w:sz="0" w:space="0" w:color="auto"/>
            <w:bottom w:val="none" w:sz="0" w:space="0" w:color="auto"/>
            <w:right w:val="none" w:sz="0" w:space="0" w:color="auto"/>
          </w:divBdr>
        </w:div>
      </w:divsChild>
    </w:div>
    <w:div w:id="388841162">
      <w:bodyDiv w:val="1"/>
      <w:marLeft w:val="0"/>
      <w:marRight w:val="0"/>
      <w:marTop w:val="0"/>
      <w:marBottom w:val="0"/>
      <w:divBdr>
        <w:top w:val="none" w:sz="0" w:space="0" w:color="auto"/>
        <w:left w:val="none" w:sz="0" w:space="0" w:color="auto"/>
        <w:bottom w:val="none" w:sz="0" w:space="0" w:color="auto"/>
        <w:right w:val="none" w:sz="0" w:space="0" w:color="auto"/>
      </w:divBdr>
    </w:div>
    <w:div w:id="418794670">
      <w:bodyDiv w:val="1"/>
      <w:marLeft w:val="0"/>
      <w:marRight w:val="0"/>
      <w:marTop w:val="0"/>
      <w:marBottom w:val="0"/>
      <w:divBdr>
        <w:top w:val="none" w:sz="0" w:space="0" w:color="auto"/>
        <w:left w:val="none" w:sz="0" w:space="0" w:color="auto"/>
        <w:bottom w:val="none" w:sz="0" w:space="0" w:color="auto"/>
        <w:right w:val="none" w:sz="0" w:space="0" w:color="auto"/>
      </w:divBdr>
    </w:div>
    <w:div w:id="427888649">
      <w:bodyDiv w:val="1"/>
      <w:marLeft w:val="0"/>
      <w:marRight w:val="0"/>
      <w:marTop w:val="0"/>
      <w:marBottom w:val="0"/>
      <w:divBdr>
        <w:top w:val="none" w:sz="0" w:space="0" w:color="auto"/>
        <w:left w:val="none" w:sz="0" w:space="0" w:color="auto"/>
        <w:bottom w:val="none" w:sz="0" w:space="0" w:color="auto"/>
        <w:right w:val="none" w:sz="0" w:space="0" w:color="auto"/>
      </w:divBdr>
      <w:divsChild>
        <w:div w:id="959725942">
          <w:marLeft w:val="0"/>
          <w:marRight w:val="0"/>
          <w:marTop w:val="0"/>
          <w:marBottom w:val="0"/>
          <w:divBdr>
            <w:top w:val="none" w:sz="0" w:space="0" w:color="auto"/>
            <w:left w:val="none" w:sz="0" w:space="0" w:color="auto"/>
            <w:bottom w:val="none" w:sz="0" w:space="0" w:color="auto"/>
            <w:right w:val="none" w:sz="0" w:space="0" w:color="auto"/>
          </w:divBdr>
        </w:div>
        <w:div w:id="2052803703">
          <w:marLeft w:val="0"/>
          <w:marRight w:val="0"/>
          <w:marTop w:val="0"/>
          <w:marBottom w:val="0"/>
          <w:divBdr>
            <w:top w:val="none" w:sz="0" w:space="0" w:color="auto"/>
            <w:left w:val="none" w:sz="0" w:space="0" w:color="auto"/>
            <w:bottom w:val="none" w:sz="0" w:space="0" w:color="auto"/>
            <w:right w:val="none" w:sz="0" w:space="0" w:color="auto"/>
          </w:divBdr>
        </w:div>
      </w:divsChild>
    </w:div>
    <w:div w:id="442580563">
      <w:bodyDiv w:val="1"/>
      <w:marLeft w:val="0"/>
      <w:marRight w:val="0"/>
      <w:marTop w:val="0"/>
      <w:marBottom w:val="0"/>
      <w:divBdr>
        <w:top w:val="none" w:sz="0" w:space="0" w:color="auto"/>
        <w:left w:val="none" w:sz="0" w:space="0" w:color="auto"/>
        <w:bottom w:val="none" w:sz="0" w:space="0" w:color="auto"/>
        <w:right w:val="none" w:sz="0" w:space="0" w:color="auto"/>
      </w:divBdr>
      <w:divsChild>
        <w:div w:id="182480832">
          <w:marLeft w:val="0"/>
          <w:marRight w:val="0"/>
          <w:marTop w:val="0"/>
          <w:marBottom w:val="0"/>
          <w:divBdr>
            <w:top w:val="none" w:sz="0" w:space="0" w:color="auto"/>
            <w:left w:val="none" w:sz="0" w:space="0" w:color="auto"/>
            <w:bottom w:val="none" w:sz="0" w:space="0" w:color="auto"/>
            <w:right w:val="none" w:sz="0" w:space="0" w:color="auto"/>
          </w:divBdr>
          <w:divsChild>
            <w:div w:id="1293247889">
              <w:marLeft w:val="0"/>
              <w:marRight w:val="0"/>
              <w:marTop w:val="0"/>
              <w:marBottom w:val="0"/>
              <w:divBdr>
                <w:top w:val="none" w:sz="0" w:space="0" w:color="auto"/>
                <w:left w:val="none" w:sz="0" w:space="0" w:color="auto"/>
                <w:bottom w:val="none" w:sz="0" w:space="0" w:color="auto"/>
                <w:right w:val="none" w:sz="0" w:space="0" w:color="auto"/>
              </w:divBdr>
              <w:divsChild>
                <w:div w:id="597828984">
                  <w:marLeft w:val="0"/>
                  <w:marRight w:val="0"/>
                  <w:marTop w:val="0"/>
                  <w:marBottom w:val="0"/>
                  <w:divBdr>
                    <w:top w:val="none" w:sz="0" w:space="0" w:color="auto"/>
                    <w:left w:val="none" w:sz="0" w:space="0" w:color="auto"/>
                    <w:bottom w:val="none" w:sz="0" w:space="0" w:color="auto"/>
                    <w:right w:val="none" w:sz="0" w:space="0" w:color="auto"/>
                  </w:divBdr>
                  <w:divsChild>
                    <w:div w:id="4944001">
                      <w:marLeft w:val="0"/>
                      <w:marRight w:val="0"/>
                      <w:marTop w:val="0"/>
                      <w:marBottom w:val="0"/>
                      <w:divBdr>
                        <w:top w:val="none" w:sz="0" w:space="0" w:color="auto"/>
                        <w:left w:val="none" w:sz="0" w:space="0" w:color="auto"/>
                        <w:bottom w:val="none" w:sz="0" w:space="0" w:color="auto"/>
                        <w:right w:val="none" w:sz="0" w:space="0" w:color="auto"/>
                      </w:divBdr>
                    </w:div>
                  </w:divsChild>
                </w:div>
                <w:div w:id="1002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2127">
          <w:marLeft w:val="0"/>
          <w:marRight w:val="0"/>
          <w:marTop w:val="0"/>
          <w:marBottom w:val="0"/>
          <w:divBdr>
            <w:top w:val="none" w:sz="0" w:space="0" w:color="auto"/>
            <w:left w:val="none" w:sz="0" w:space="0" w:color="auto"/>
            <w:bottom w:val="none" w:sz="0" w:space="0" w:color="auto"/>
            <w:right w:val="none" w:sz="0" w:space="0" w:color="auto"/>
          </w:divBdr>
        </w:div>
      </w:divsChild>
    </w:div>
    <w:div w:id="464200797">
      <w:bodyDiv w:val="1"/>
      <w:marLeft w:val="0"/>
      <w:marRight w:val="0"/>
      <w:marTop w:val="0"/>
      <w:marBottom w:val="0"/>
      <w:divBdr>
        <w:top w:val="none" w:sz="0" w:space="0" w:color="auto"/>
        <w:left w:val="none" w:sz="0" w:space="0" w:color="auto"/>
        <w:bottom w:val="none" w:sz="0" w:space="0" w:color="auto"/>
        <w:right w:val="none" w:sz="0" w:space="0" w:color="auto"/>
      </w:divBdr>
    </w:div>
    <w:div w:id="497576309">
      <w:bodyDiv w:val="1"/>
      <w:marLeft w:val="0"/>
      <w:marRight w:val="0"/>
      <w:marTop w:val="0"/>
      <w:marBottom w:val="0"/>
      <w:divBdr>
        <w:top w:val="none" w:sz="0" w:space="0" w:color="auto"/>
        <w:left w:val="none" w:sz="0" w:space="0" w:color="auto"/>
        <w:bottom w:val="none" w:sz="0" w:space="0" w:color="auto"/>
        <w:right w:val="none" w:sz="0" w:space="0" w:color="auto"/>
      </w:divBdr>
      <w:divsChild>
        <w:div w:id="1360660132">
          <w:marLeft w:val="0"/>
          <w:marRight w:val="0"/>
          <w:marTop w:val="0"/>
          <w:marBottom w:val="0"/>
          <w:divBdr>
            <w:top w:val="none" w:sz="0" w:space="0" w:color="auto"/>
            <w:left w:val="none" w:sz="0" w:space="0" w:color="auto"/>
            <w:bottom w:val="none" w:sz="0" w:space="0" w:color="auto"/>
            <w:right w:val="none" w:sz="0" w:space="0" w:color="auto"/>
          </w:divBdr>
          <w:divsChild>
            <w:div w:id="551816258">
              <w:marLeft w:val="0"/>
              <w:marRight w:val="0"/>
              <w:marTop w:val="0"/>
              <w:marBottom w:val="0"/>
              <w:divBdr>
                <w:top w:val="none" w:sz="0" w:space="0" w:color="auto"/>
                <w:left w:val="none" w:sz="0" w:space="0" w:color="auto"/>
                <w:bottom w:val="none" w:sz="0" w:space="0" w:color="auto"/>
                <w:right w:val="none" w:sz="0" w:space="0" w:color="auto"/>
              </w:divBdr>
              <w:divsChild>
                <w:div w:id="12647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8456">
          <w:marLeft w:val="0"/>
          <w:marRight w:val="0"/>
          <w:marTop w:val="0"/>
          <w:marBottom w:val="0"/>
          <w:divBdr>
            <w:top w:val="none" w:sz="0" w:space="0" w:color="auto"/>
            <w:left w:val="none" w:sz="0" w:space="0" w:color="auto"/>
            <w:bottom w:val="none" w:sz="0" w:space="0" w:color="auto"/>
            <w:right w:val="none" w:sz="0" w:space="0" w:color="auto"/>
          </w:divBdr>
          <w:divsChild>
            <w:div w:id="11426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51420">
      <w:bodyDiv w:val="1"/>
      <w:marLeft w:val="0"/>
      <w:marRight w:val="0"/>
      <w:marTop w:val="0"/>
      <w:marBottom w:val="0"/>
      <w:divBdr>
        <w:top w:val="none" w:sz="0" w:space="0" w:color="auto"/>
        <w:left w:val="none" w:sz="0" w:space="0" w:color="auto"/>
        <w:bottom w:val="none" w:sz="0" w:space="0" w:color="auto"/>
        <w:right w:val="none" w:sz="0" w:space="0" w:color="auto"/>
      </w:divBdr>
    </w:div>
    <w:div w:id="532768859">
      <w:bodyDiv w:val="1"/>
      <w:marLeft w:val="0"/>
      <w:marRight w:val="0"/>
      <w:marTop w:val="0"/>
      <w:marBottom w:val="0"/>
      <w:divBdr>
        <w:top w:val="none" w:sz="0" w:space="0" w:color="auto"/>
        <w:left w:val="none" w:sz="0" w:space="0" w:color="auto"/>
        <w:bottom w:val="none" w:sz="0" w:space="0" w:color="auto"/>
        <w:right w:val="none" w:sz="0" w:space="0" w:color="auto"/>
      </w:divBdr>
      <w:divsChild>
        <w:div w:id="1222136225">
          <w:marLeft w:val="0"/>
          <w:marRight w:val="0"/>
          <w:marTop w:val="0"/>
          <w:marBottom w:val="0"/>
          <w:divBdr>
            <w:top w:val="none" w:sz="0" w:space="0" w:color="auto"/>
            <w:left w:val="none" w:sz="0" w:space="0" w:color="auto"/>
            <w:bottom w:val="none" w:sz="0" w:space="0" w:color="auto"/>
            <w:right w:val="none" w:sz="0" w:space="0" w:color="auto"/>
          </w:divBdr>
          <w:divsChild>
            <w:div w:id="2052150987">
              <w:marLeft w:val="0"/>
              <w:marRight w:val="0"/>
              <w:marTop w:val="0"/>
              <w:marBottom w:val="0"/>
              <w:divBdr>
                <w:top w:val="none" w:sz="0" w:space="0" w:color="auto"/>
                <w:left w:val="none" w:sz="0" w:space="0" w:color="auto"/>
                <w:bottom w:val="none" w:sz="0" w:space="0" w:color="auto"/>
                <w:right w:val="none" w:sz="0" w:space="0" w:color="auto"/>
              </w:divBdr>
            </w:div>
          </w:divsChild>
        </w:div>
        <w:div w:id="446318179">
          <w:marLeft w:val="0"/>
          <w:marRight w:val="0"/>
          <w:marTop w:val="0"/>
          <w:marBottom w:val="0"/>
          <w:divBdr>
            <w:top w:val="none" w:sz="0" w:space="0" w:color="auto"/>
            <w:left w:val="none" w:sz="0" w:space="0" w:color="auto"/>
            <w:bottom w:val="none" w:sz="0" w:space="0" w:color="auto"/>
            <w:right w:val="none" w:sz="0" w:space="0" w:color="auto"/>
          </w:divBdr>
          <w:divsChild>
            <w:div w:id="884222859">
              <w:marLeft w:val="0"/>
              <w:marRight w:val="0"/>
              <w:marTop w:val="0"/>
              <w:marBottom w:val="0"/>
              <w:divBdr>
                <w:top w:val="none" w:sz="0" w:space="0" w:color="auto"/>
                <w:left w:val="none" w:sz="0" w:space="0" w:color="auto"/>
                <w:bottom w:val="none" w:sz="0" w:space="0" w:color="auto"/>
                <w:right w:val="none" w:sz="0" w:space="0" w:color="auto"/>
              </w:divBdr>
            </w:div>
          </w:divsChild>
        </w:div>
        <w:div w:id="1759062720">
          <w:marLeft w:val="0"/>
          <w:marRight w:val="0"/>
          <w:marTop w:val="0"/>
          <w:marBottom w:val="0"/>
          <w:divBdr>
            <w:top w:val="none" w:sz="0" w:space="0" w:color="auto"/>
            <w:left w:val="none" w:sz="0" w:space="0" w:color="auto"/>
            <w:bottom w:val="none" w:sz="0" w:space="0" w:color="auto"/>
            <w:right w:val="none" w:sz="0" w:space="0" w:color="auto"/>
          </w:divBdr>
          <w:divsChild>
            <w:div w:id="15998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98756">
      <w:bodyDiv w:val="1"/>
      <w:marLeft w:val="0"/>
      <w:marRight w:val="0"/>
      <w:marTop w:val="0"/>
      <w:marBottom w:val="0"/>
      <w:divBdr>
        <w:top w:val="none" w:sz="0" w:space="0" w:color="auto"/>
        <w:left w:val="none" w:sz="0" w:space="0" w:color="auto"/>
        <w:bottom w:val="none" w:sz="0" w:space="0" w:color="auto"/>
        <w:right w:val="none" w:sz="0" w:space="0" w:color="auto"/>
      </w:divBdr>
    </w:div>
    <w:div w:id="551887328">
      <w:bodyDiv w:val="1"/>
      <w:marLeft w:val="0"/>
      <w:marRight w:val="0"/>
      <w:marTop w:val="0"/>
      <w:marBottom w:val="0"/>
      <w:divBdr>
        <w:top w:val="none" w:sz="0" w:space="0" w:color="auto"/>
        <w:left w:val="none" w:sz="0" w:space="0" w:color="auto"/>
        <w:bottom w:val="none" w:sz="0" w:space="0" w:color="auto"/>
        <w:right w:val="none" w:sz="0" w:space="0" w:color="auto"/>
      </w:divBdr>
      <w:divsChild>
        <w:div w:id="1098258443">
          <w:marLeft w:val="0"/>
          <w:marRight w:val="0"/>
          <w:marTop w:val="240"/>
          <w:marBottom w:val="120"/>
          <w:divBdr>
            <w:top w:val="none" w:sz="0" w:space="0" w:color="auto"/>
            <w:left w:val="none" w:sz="0" w:space="0" w:color="auto"/>
            <w:bottom w:val="none" w:sz="0" w:space="0" w:color="auto"/>
            <w:right w:val="none" w:sz="0" w:space="0" w:color="auto"/>
          </w:divBdr>
        </w:div>
        <w:div w:id="2010138293">
          <w:marLeft w:val="0"/>
          <w:marRight w:val="0"/>
          <w:marTop w:val="240"/>
          <w:marBottom w:val="120"/>
          <w:divBdr>
            <w:top w:val="none" w:sz="0" w:space="0" w:color="auto"/>
            <w:left w:val="none" w:sz="0" w:space="0" w:color="auto"/>
            <w:bottom w:val="none" w:sz="0" w:space="0" w:color="auto"/>
            <w:right w:val="none" w:sz="0" w:space="0" w:color="auto"/>
          </w:divBdr>
        </w:div>
      </w:divsChild>
    </w:div>
    <w:div w:id="555361784">
      <w:bodyDiv w:val="1"/>
      <w:marLeft w:val="0"/>
      <w:marRight w:val="0"/>
      <w:marTop w:val="0"/>
      <w:marBottom w:val="0"/>
      <w:divBdr>
        <w:top w:val="none" w:sz="0" w:space="0" w:color="auto"/>
        <w:left w:val="none" w:sz="0" w:space="0" w:color="auto"/>
        <w:bottom w:val="none" w:sz="0" w:space="0" w:color="auto"/>
        <w:right w:val="none" w:sz="0" w:space="0" w:color="auto"/>
      </w:divBdr>
      <w:divsChild>
        <w:div w:id="102044273">
          <w:marLeft w:val="0"/>
          <w:marRight w:val="0"/>
          <w:marTop w:val="240"/>
          <w:marBottom w:val="120"/>
          <w:divBdr>
            <w:top w:val="none" w:sz="0" w:space="0" w:color="auto"/>
            <w:left w:val="none" w:sz="0" w:space="0" w:color="auto"/>
            <w:bottom w:val="none" w:sz="0" w:space="0" w:color="auto"/>
            <w:right w:val="none" w:sz="0" w:space="0" w:color="auto"/>
          </w:divBdr>
        </w:div>
        <w:div w:id="2139031180">
          <w:marLeft w:val="0"/>
          <w:marRight w:val="0"/>
          <w:marTop w:val="240"/>
          <w:marBottom w:val="120"/>
          <w:divBdr>
            <w:top w:val="none" w:sz="0" w:space="0" w:color="auto"/>
            <w:left w:val="none" w:sz="0" w:space="0" w:color="auto"/>
            <w:bottom w:val="none" w:sz="0" w:space="0" w:color="auto"/>
            <w:right w:val="none" w:sz="0" w:space="0" w:color="auto"/>
          </w:divBdr>
        </w:div>
      </w:divsChild>
    </w:div>
    <w:div w:id="597176210">
      <w:bodyDiv w:val="1"/>
      <w:marLeft w:val="0"/>
      <w:marRight w:val="0"/>
      <w:marTop w:val="0"/>
      <w:marBottom w:val="0"/>
      <w:divBdr>
        <w:top w:val="none" w:sz="0" w:space="0" w:color="auto"/>
        <w:left w:val="none" w:sz="0" w:space="0" w:color="auto"/>
        <w:bottom w:val="none" w:sz="0" w:space="0" w:color="auto"/>
        <w:right w:val="none" w:sz="0" w:space="0" w:color="auto"/>
      </w:divBdr>
      <w:divsChild>
        <w:div w:id="1749570453">
          <w:marLeft w:val="0"/>
          <w:marRight w:val="0"/>
          <w:marTop w:val="0"/>
          <w:marBottom w:val="0"/>
          <w:divBdr>
            <w:top w:val="none" w:sz="0" w:space="0" w:color="auto"/>
            <w:left w:val="none" w:sz="0" w:space="0" w:color="auto"/>
            <w:bottom w:val="none" w:sz="0" w:space="0" w:color="auto"/>
            <w:right w:val="none" w:sz="0" w:space="0" w:color="auto"/>
          </w:divBdr>
        </w:div>
      </w:divsChild>
    </w:div>
    <w:div w:id="599995493">
      <w:bodyDiv w:val="1"/>
      <w:marLeft w:val="0"/>
      <w:marRight w:val="0"/>
      <w:marTop w:val="0"/>
      <w:marBottom w:val="0"/>
      <w:divBdr>
        <w:top w:val="none" w:sz="0" w:space="0" w:color="auto"/>
        <w:left w:val="none" w:sz="0" w:space="0" w:color="auto"/>
        <w:bottom w:val="none" w:sz="0" w:space="0" w:color="auto"/>
        <w:right w:val="none" w:sz="0" w:space="0" w:color="auto"/>
      </w:divBdr>
    </w:div>
    <w:div w:id="603267583">
      <w:bodyDiv w:val="1"/>
      <w:marLeft w:val="0"/>
      <w:marRight w:val="0"/>
      <w:marTop w:val="0"/>
      <w:marBottom w:val="0"/>
      <w:divBdr>
        <w:top w:val="none" w:sz="0" w:space="0" w:color="auto"/>
        <w:left w:val="none" w:sz="0" w:space="0" w:color="auto"/>
        <w:bottom w:val="none" w:sz="0" w:space="0" w:color="auto"/>
        <w:right w:val="none" w:sz="0" w:space="0" w:color="auto"/>
      </w:divBdr>
    </w:div>
    <w:div w:id="622346089">
      <w:bodyDiv w:val="1"/>
      <w:marLeft w:val="0"/>
      <w:marRight w:val="0"/>
      <w:marTop w:val="0"/>
      <w:marBottom w:val="0"/>
      <w:divBdr>
        <w:top w:val="none" w:sz="0" w:space="0" w:color="auto"/>
        <w:left w:val="none" w:sz="0" w:space="0" w:color="auto"/>
        <w:bottom w:val="none" w:sz="0" w:space="0" w:color="auto"/>
        <w:right w:val="none" w:sz="0" w:space="0" w:color="auto"/>
      </w:divBdr>
    </w:div>
    <w:div w:id="632059947">
      <w:bodyDiv w:val="1"/>
      <w:marLeft w:val="0"/>
      <w:marRight w:val="0"/>
      <w:marTop w:val="0"/>
      <w:marBottom w:val="0"/>
      <w:divBdr>
        <w:top w:val="none" w:sz="0" w:space="0" w:color="auto"/>
        <w:left w:val="none" w:sz="0" w:space="0" w:color="auto"/>
        <w:bottom w:val="none" w:sz="0" w:space="0" w:color="auto"/>
        <w:right w:val="none" w:sz="0" w:space="0" w:color="auto"/>
      </w:divBdr>
      <w:divsChild>
        <w:div w:id="1456368014">
          <w:marLeft w:val="0"/>
          <w:marRight w:val="0"/>
          <w:marTop w:val="0"/>
          <w:marBottom w:val="0"/>
          <w:divBdr>
            <w:top w:val="none" w:sz="0" w:space="0" w:color="auto"/>
            <w:left w:val="none" w:sz="0" w:space="0" w:color="auto"/>
            <w:bottom w:val="none" w:sz="0" w:space="0" w:color="auto"/>
            <w:right w:val="none" w:sz="0" w:space="0" w:color="auto"/>
          </w:divBdr>
          <w:divsChild>
            <w:div w:id="1268469611">
              <w:marLeft w:val="0"/>
              <w:marRight w:val="0"/>
              <w:marTop w:val="0"/>
              <w:marBottom w:val="0"/>
              <w:divBdr>
                <w:top w:val="none" w:sz="0" w:space="0" w:color="auto"/>
                <w:left w:val="none" w:sz="0" w:space="0" w:color="auto"/>
                <w:bottom w:val="none" w:sz="0" w:space="0" w:color="auto"/>
                <w:right w:val="none" w:sz="0" w:space="0" w:color="auto"/>
              </w:divBdr>
              <w:divsChild>
                <w:div w:id="389427080">
                  <w:marLeft w:val="0"/>
                  <w:marRight w:val="0"/>
                  <w:marTop w:val="0"/>
                  <w:marBottom w:val="0"/>
                  <w:divBdr>
                    <w:top w:val="none" w:sz="0" w:space="0" w:color="auto"/>
                    <w:left w:val="none" w:sz="0" w:space="0" w:color="auto"/>
                    <w:bottom w:val="none" w:sz="0" w:space="0" w:color="auto"/>
                    <w:right w:val="none" w:sz="0" w:space="0" w:color="auto"/>
                  </w:divBdr>
                </w:div>
                <w:div w:id="92674422">
                  <w:marLeft w:val="0"/>
                  <w:marRight w:val="0"/>
                  <w:marTop w:val="0"/>
                  <w:marBottom w:val="0"/>
                  <w:divBdr>
                    <w:top w:val="none" w:sz="0" w:space="0" w:color="auto"/>
                    <w:left w:val="none" w:sz="0" w:space="0" w:color="auto"/>
                    <w:bottom w:val="none" w:sz="0" w:space="0" w:color="auto"/>
                    <w:right w:val="none" w:sz="0" w:space="0" w:color="auto"/>
                  </w:divBdr>
                  <w:divsChild>
                    <w:div w:id="261226629">
                      <w:marLeft w:val="0"/>
                      <w:marRight w:val="0"/>
                      <w:marTop w:val="0"/>
                      <w:marBottom w:val="0"/>
                      <w:divBdr>
                        <w:top w:val="none" w:sz="0" w:space="0" w:color="auto"/>
                        <w:left w:val="none" w:sz="0" w:space="0" w:color="auto"/>
                        <w:bottom w:val="none" w:sz="0" w:space="0" w:color="auto"/>
                        <w:right w:val="none" w:sz="0" w:space="0" w:color="auto"/>
                      </w:divBdr>
                    </w:div>
                  </w:divsChild>
                </w:div>
                <w:div w:id="14345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13334">
      <w:bodyDiv w:val="1"/>
      <w:marLeft w:val="0"/>
      <w:marRight w:val="0"/>
      <w:marTop w:val="0"/>
      <w:marBottom w:val="0"/>
      <w:divBdr>
        <w:top w:val="none" w:sz="0" w:space="0" w:color="auto"/>
        <w:left w:val="none" w:sz="0" w:space="0" w:color="auto"/>
        <w:bottom w:val="none" w:sz="0" w:space="0" w:color="auto"/>
        <w:right w:val="none" w:sz="0" w:space="0" w:color="auto"/>
      </w:divBdr>
    </w:div>
    <w:div w:id="675156984">
      <w:bodyDiv w:val="1"/>
      <w:marLeft w:val="0"/>
      <w:marRight w:val="0"/>
      <w:marTop w:val="0"/>
      <w:marBottom w:val="0"/>
      <w:divBdr>
        <w:top w:val="none" w:sz="0" w:space="0" w:color="auto"/>
        <w:left w:val="none" w:sz="0" w:space="0" w:color="auto"/>
        <w:bottom w:val="none" w:sz="0" w:space="0" w:color="auto"/>
        <w:right w:val="none" w:sz="0" w:space="0" w:color="auto"/>
      </w:divBdr>
      <w:divsChild>
        <w:div w:id="263154668">
          <w:marLeft w:val="0"/>
          <w:marRight w:val="0"/>
          <w:marTop w:val="240"/>
          <w:marBottom w:val="120"/>
          <w:divBdr>
            <w:top w:val="none" w:sz="0" w:space="0" w:color="auto"/>
            <w:left w:val="none" w:sz="0" w:space="0" w:color="auto"/>
            <w:bottom w:val="none" w:sz="0" w:space="0" w:color="auto"/>
            <w:right w:val="none" w:sz="0" w:space="0" w:color="auto"/>
          </w:divBdr>
        </w:div>
        <w:div w:id="1711102079">
          <w:marLeft w:val="0"/>
          <w:marRight w:val="0"/>
          <w:marTop w:val="240"/>
          <w:marBottom w:val="120"/>
          <w:divBdr>
            <w:top w:val="none" w:sz="0" w:space="0" w:color="auto"/>
            <w:left w:val="none" w:sz="0" w:space="0" w:color="auto"/>
            <w:bottom w:val="none" w:sz="0" w:space="0" w:color="auto"/>
            <w:right w:val="none" w:sz="0" w:space="0" w:color="auto"/>
          </w:divBdr>
        </w:div>
      </w:divsChild>
    </w:div>
    <w:div w:id="675616929">
      <w:bodyDiv w:val="1"/>
      <w:marLeft w:val="0"/>
      <w:marRight w:val="0"/>
      <w:marTop w:val="0"/>
      <w:marBottom w:val="0"/>
      <w:divBdr>
        <w:top w:val="none" w:sz="0" w:space="0" w:color="auto"/>
        <w:left w:val="none" w:sz="0" w:space="0" w:color="auto"/>
        <w:bottom w:val="none" w:sz="0" w:space="0" w:color="auto"/>
        <w:right w:val="none" w:sz="0" w:space="0" w:color="auto"/>
      </w:divBdr>
      <w:divsChild>
        <w:div w:id="348915312">
          <w:marLeft w:val="0"/>
          <w:marRight w:val="0"/>
          <w:marTop w:val="0"/>
          <w:marBottom w:val="0"/>
          <w:divBdr>
            <w:top w:val="none" w:sz="0" w:space="0" w:color="auto"/>
            <w:left w:val="none" w:sz="0" w:space="0" w:color="auto"/>
            <w:bottom w:val="none" w:sz="0" w:space="0" w:color="auto"/>
            <w:right w:val="none" w:sz="0" w:space="0" w:color="auto"/>
          </w:divBdr>
        </w:div>
        <w:div w:id="170722132">
          <w:marLeft w:val="0"/>
          <w:marRight w:val="0"/>
          <w:marTop w:val="0"/>
          <w:marBottom w:val="0"/>
          <w:divBdr>
            <w:top w:val="none" w:sz="0" w:space="0" w:color="auto"/>
            <w:left w:val="none" w:sz="0" w:space="0" w:color="auto"/>
            <w:bottom w:val="none" w:sz="0" w:space="0" w:color="auto"/>
            <w:right w:val="none" w:sz="0" w:space="0" w:color="auto"/>
          </w:divBdr>
        </w:div>
      </w:divsChild>
    </w:div>
    <w:div w:id="677274577">
      <w:bodyDiv w:val="1"/>
      <w:marLeft w:val="0"/>
      <w:marRight w:val="0"/>
      <w:marTop w:val="0"/>
      <w:marBottom w:val="0"/>
      <w:divBdr>
        <w:top w:val="none" w:sz="0" w:space="0" w:color="auto"/>
        <w:left w:val="none" w:sz="0" w:space="0" w:color="auto"/>
        <w:bottom w:val="none" w:sz="0" w:space="0" w:color="auto"/>
        <w:right w:val="none" w:sz="0" w:space="0" w:color="auto"/>
      </w:divBdr>
      <w:divsChild>
        <w:div w:id="151340895">
          <w:marLeft w:val="0"/>
          <w:marRight w:val="0"/>
          <w:marTop w:val="0"/>
          <w:marBottom w:val="0"/>
          <w:divBdr>
            <w:top w:val="none" w:sz="0" w:space="0" w:color="auto"/>
            <w:left w:val="none" w:sz="0" w:space="0" w:color="auto"/>
            <w:bottom w:val="none" w:sz="0" w:space="0" w:color="auto"/>
            <w:right w:val="none" w:sz="0" w:space="0" w:color="auto"/>
          </w:divBdr>
          <w:divsChild>
            <w:div w:id="1470707876">
              <w:marLeft w:val="0"/>
              <w:marRight w:val="0"/>
              <w:marTop w:val="0"/>
              <w:marBottom w:val="0"/>
              <w:divBdr>
                <w:top w:val="none" w:sz="0" w:space="0" w:color="auto"/>
                <w:left w:val="none" w:sz="0" w:space="0" w:color="auto"/>
                <w:bottom w:val="none" w:sz="0" w:space="0" w:color="auto"/>
                <w:right w:val="none" w:sz="0" w:space="0" w:color="auto"/>
              </w:divBdr>
              <w:divsChild>
                <w:div w:id="979580050">
                  <w:marLeft w:val="0"/>
                  <w:marRight w:val="0"/>
                  <w:marTop w:val="0"/>
                  <w:marBottom w:val="0"/>
                  <w:divBdr>
                    <w:top w:val="none" w:sz="0" w:space="0" w:color="auto"/>
                    <w:left w:val="none" w:sz="0" w:space="0" w:color="auto"/>
                    <w:bottom w:val="none" w:sz="0" w:space="0" w:color="auto"/>
                    <w:right w:val="none" w:sz="0" w:space="0" w:color="auto"/>
                  </w:divBdr>
                  <w:divsChild>
                    <w:div w:id="205330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17733">
      <w:bodyDiv w:val="1"/>
      <w:marLeft w:val="0"/>
      <w:marRight w:val="0"/>
      <w:marTop w:val="0"/>
      <w:marBottom w:val="0"/>
      <w:divBdr>
        <w:top w:val="none" w:sz="0" w:space="0" w:color="auto"/>
        <w:left w:val="none" w:sz="0" w:space="0" w:color="auto"/>
        <w:bottom w:val="none" w:sz="0" w:space="0" w:color="auto"/>
        <w:right w:val="none" w:sz="0" w:space="0" w:color="auto"/>
      </w:divBdr>
      <w:divsChild>
        <w:div w:id="1594127543">
          <w:marLeft w:val="0"/>
          <w:marRight w:val="0"/>
          <w:marTop w:val="240"/>
          <w:marBottom w:val="120"/>
          <w:divBdr>
            <w:top w:val="none" w:sz="0" w:space="0" w:color="auto"/>
            <w:left w:val="none" w:sz="0" w:space="0" w:color="auto"/>
            <w:bottom w:val="none" w:sz="0" w:space="0" w:color="auto"/>
            <w:right w:val="none" w:sz="0" w:space="0" w:color="auto"/>
          </w:divBdr>
        </w:div>
        <w:div w:id="1118793527">
          <w:marLeft w:val="0"/>
          <w:marRight w:val="0"/>
          <w:marTop w:val="240"/>
          <w:marBottom w:val="120"/>
          <w:divBdr>
            <w:top w:val="none" w:sz="0" w:space="0" w:color="auto"/>
            <w:left w:val="none" w:sz="0" w:space="0" w:color="auto"/>
            <w:bottom w:val="none" w:sz="0" w:space="0" w:color="auto"/>
            <w:right w:val="none" w:sz="0" w:space="0" w:color="auto"/>
          </w:divBdr>
        </w:div>
      </w:divsChild>
    </w:div>
    <w:div w:id="699165262">
      <w:bodyDiv w:val="1"/>
      <w:marLeft w:val="0"/>
      <w:marRight w:val="0"/>
      <w:marTop w:val="0"/>
      <w:marBottom w:val="0"/>
      <w:divBdr>
        <w:top w:val="none" w:sz="0" w:space="0" w:color="auto"/>
        <w:left w:val="none" w:sz="0" w:space="0" w:color="auto"/>
        <w:bottom w:val="none" w:sz="0" w:space="0" w:color="auto"/>
        <w:right w:val="none" w:sz="0" w:space="0" w:color="auto"/>
      </w:divBdr>
      <w:divsChild>
        <w:div w:id="1866944581">
          <w:marLeft w:val="0"/>
          <w:marRight w:val="0"/>
          <w:marTop w:val="240"/>
          <w:marBottom w:val="120"/>
          <w:divBdr>
            <w:top w:val="none" w:sz="0" w:space="0" w:color="auto"/>
            <w:left w:val="none" w:sz="0" w:space="0" w:color="auto"/>
            <w:bottom w:val="none" w:sz="0" w:space="0" w:color="auto"/>
            <w:right w:val="none" w:sz="0" w:space="0" w:color="auto"/>
          </w:divBdr>
        </w:div>
        <w:div w:id="139805411">
          <w:marLeft w:val="0"/>
          <w:marRight w:val="0"/>
          <w:marTop w:val="240"/>
          <w:marBottom w:val="120"/>
          <w:divBdr>
            <w:top w:val="none" w:sz="0" w:space="0" w:color="auto"/>
            <w:left w:val="none" w:sz="0" w:space="0" w:color="auto"/>
            <w:bottom w:val="none" w:sz="0" w:space="0" w:color="auto"/>
            <w:right w:val="none" w:sz="0" w:space="0" w:color="auto"/>
          </w:divBdr>
        </w:div>
      </w:divsChild>
    </w:div>
    <w:div w:id="700131663">
      <w:bodyDiv w:val="1"/>
      <w:marLeft w:val="0"/>
      <w:marRight w:val="0"/>
      <w:marTop w:val="0"/>
      <w:marBottom w:val="0"/>
      <w:divBdr>
        <w:top w:val="none" w:sz="0" w:space="0" w:color="auto"/>
        <w:left w:val="none" w:sz="0" w:space="0" w:color="auto"/>
        <w:bottom w:val="none" w:sz="0" w:space="0" w:color="auto"/>
        <w:right w:val="none" w:sz="0" w:space="0" w:color="auto"/>
      </w:divBdr>
      <w:divsChild>
        <w:div w:id="398787849">
          <w:marLeft w:val="0"/>
          <w:marRight w:val="0"/>
          <w:marTop w:val="240"/>
          <w:marBottom w:val="120"/>
          <w:divBdr>
            <w:top w:val="none" w:sz="0" w:space="0" w:color="auto"/>
            <w:left w:val="none" w:sz="0" w:space="0" w:color="auto"/>
            <w:bottom w:val="none" w:sz="0" w:space="0" w:color="auto"/>
            <w:right w:val="none" w:sz="0" w:space="0" w:color="auto"/>
          </w:divBdr>
        </w:div>
        <w:div w:id="819929725">
          <w:marLeft w:val="0"/>
          <w:marRight w:val="0"/>
          <w:marTop w:val="240"/>
          <w:marBottom w:val="120"/>
          <w:divBdr>
            <w:top w:val="none" w:sz="0" w:space="0" w:color="auto"/>
            <w:left w:val="none" w:sz="0" w:space="0" w:color="auto"/>
            <w:bottom w:val="none" w:sz="0" w:space="0" w:color="auto"/>
            <w:right w:val="none" w:sz="0" w:space="0" w:color="auto"/>
          </w:divBdr>
        </w:div>
      </w:divsChild>
    </w:div>
    <w:div w:id="717432798">
      <w:bodyDiv w:val="1"/>
      <w:marLeft w:val="0"/>
      <w:marRight w:val="0"/>
      <w:marTop w:val="0"/>
      <w:marBottom w:val="0"/>
      <w:divBdr>
        <w:top w:val="none" w:sz="0" w:space="0" w:color="auto"/>
        <w:left w:val="none" w:sz="0" w:space="0" w:color="auto"/>
        <w:bottom w:val="none" w:sz="0" w:space="0" w:color="auto"/>
        <w:right w:val="none" w:sz="0" w:space="0" w:color="auto"/>
      </w:divBdr>
    </w:div>
    <w:div w:id="720831630">
      <w:bodyDiv w:val="1"/>
      <w:marLeft w:val="0"/>
      <w:marRight w:val="0"/>
      <w:marTop w:val="0"/>
      <w:marBottom w:val="0"/>
      <w:divBdr>
        <w:top w:val="none" w:sz="0" w:space="0" w:color="auto"/>
        <w:left w:val="none" w:sz="0" w:space="0" w:color="auto"/>
        <w:bottom w:val="none" w:sz="0" w:space="0" w:color="auto"/>
        <w:right w:val="none" w:sz="0" w:space="0" w:color="auto"/>
      </w:divBdr>
      <w:divsChild>
        <w:div w:id="977417227">
          <w:marLeft w:val="0"/>
          <w:marRight w:val="0"/>
          <w:marTop w:val="0"/>
          <w:marBottom w:val="0"/>
          <w:divBdr>
            <w:top w:val="none" w:sz="0" w:space="0" w:color="auto"/>
            <w:left w:val="none" w:sz="0" w:space="0" w:color="auto"/>
            <w:bottom w:val="none" w:sz="0" w:space="0" w:color="auto"/>
            <w:right w:val="none" w:sz="0" w:space="0" w:color="auto"/>
          </w:divBdr>
          <w:divsChild>
            <w:div w:id="2055737412">
              <w:marLeft w:val="0"/>
              <w:marRight w:val="0"/>
              <w:marTop w:val="0"/>
              <w:marBottom w:val="0"/>
              <w:divBdr>
                <w:top w:val="none" w:sz="0" w:space="0" w:color="auto"/>
                <w:left w:val="none" w:sz="0" w:space="0" w:color="auto"/>
                <w:bottom w:val="none" w:sz="0" w:space="0" w:color="auto"/>
                <w:right w:val="none" w:sz="0" w:space="0" w:color="auto"/>
              </w:divBdr>
              <w:divsChild>
                <w:div w:id="1364328835">
                  <w:marLeft w:val="-30"/>
                  <w:marRight w:val="90"/>
                  <w:marTop w:val="0"/>
                  <w:marBottom w:val="105"/>
                  <w:divBdr>
                    <w:top w:val="none" w:sz="0" w:space="0" w:color="auto"/>
                    <w:left w:val="none" w:sz="0" w:space="0" w:color="auto"/>
                    <w:bottom w:val="none" w:sz="0" w:space="0" w:color="auto"/>
                    <w:right w:val="none" w:sz="0" w:space="0" w:color="auto"/>
                  </w:divBdr>
                </w:div>
              </w:divsChild>
            </w:div>
          </w:divsChild>
        </w:div>
        <w:div w:id="178279913">
          <w:marLeft w:val="0"/>
          <w:marRight w:val="0"/>
          <w:marTop w:val="0"/>
          <w:marBottom w:val="0"/>
          <w:divBdr>
            <w:top w:val="none" w:sz="0" w:space="0" w:color="auto"/>
            <w:left w:val="none" w:sz="0" w:space="0" w:color="auto"/>
            <w:bottom w:val="none" w:sz="0" w:space="0" w:color="auto"/>
            <w:right w:val="none" w:sz="0" w:space="0" w:color="auto"/>
          </w:divBdr>
          <w:divsChild>
            <w:div w:id="48044504">
              <w:marLeft w:val="0"/>
              <w:marRight w:val="0"/>
              <w:marTop w:val="0"/>
              <w:marBottom w:val="0"/>
              <w:divBdr>
                <w:top w:val="none" w:sz="0" w:space="0" w:color="auto"/>
                <w:left w:val="none" w:sz="0" w:space="0" w:color="auto"/>
                <w:bottom w:val="none" w:sz="0" w:space="0" w:color="auto"/>
                <w:right w:val="none" w:sz="0" w:space="0" w:color="auto"/>
              </w:divBdr>
            </w:div>
          </w:divsChild>
        </w:div>
        <w:div w:id="455755445">
          <w:marLeft w:val="0"/>
          <w:marRight w:val="0"/>
          <w:marTop w:val="0"/>
          <w:marBottom w:val="0"/>
          <w:divBdr>
            <w:top w:val="none" w:sz="0" w:space="0" w:color="auto"/>
            <w:left w:val="none" w:sz="0" w:space="0" w:color="auto"/>
            <w:bottom w:val="none" w:sz="0" w:space="0" w:color="auto"/>
            <w:right w:val="none" w:sz="0" w:space="0" w:color="auto"/>
          </w:divBdr>
          <w:divsChild>
            <w:div w:id="344484979">
              <w:marLeft w:val="0"/>
              <w:marRight w:val="0"/>
              <w:marTop w:val="0"/>
              <w:marBottom w:val="0"/>
              <w:divBdr>
                <w:top w:val="none" w:sz="0" w:space="0" w:color="auto"/>
                <w:left w:val="none" w:sz="0" w:space="0" w:color="auto"/>
                <w:bottom w:val="none" w:sz="0" w:space="0" w:color="auto"/>
                <w:right w:val="none" w:sz="0" w:space="0" w:color="auto"/>
              </w:divBdr>
              <w:divsChild>
                <w:div w:id="360325560">
                  <w:marLeft w:val="0"/>
                  <w:marRight w:val="0"/>
                  <w:marTop w:val="0"/>
                  <w:marBottom w:val="0"/>
                  <w:divBdr>
                    <w:top w:val="none" w:sz="0" w:space="0" w:color="auto"/>
                    <w:left w:val="none" w:sz="0" w:space="0" w:color="auto"/>
                    <w:bottom w:val="none" w:sz="0" w:space="0" w:color="auto"/>
                    <w:right w:val="none" w:sz="0" w:space="0" w:color="auto"/>
                  </w:divBdr>
                  <w:divsChild>
                    <w:div w:id="1706101581">
                      <w:marLeft w:val="0"/>
                      <w:marRight w:val="0"/>
                      <w:marTop w:val="0"/>
                      <w:marBottom w:val="0"/>
                      <w:divBdr>
                        <w:top w:val="none" w:sz="0" w:space="0" w:color="auto"/>
                        <w:left w:val="none" w:sz="0" w:space="0" w:color="auto"/>
                        <w:bottom w:val="none" w:sz="0" w:space="0" w:color="auto"/>
                        <w:right w:val="none" w:sz="0" w:space="0" w:color="auto"/>
                      </w:divBdr>
                    </w:div>
                    <w:div w:id="712996701">
                      <w:marLeft w:val="0"/>
                      <w:marRight w:val="0"/>
                      <w:marTop w:val="0"/>
                      <w:marBottom w:val="0"/>
                      <w:divBdr>
                        <w:top w:val="none" w:sz="0" w:space="0" w:color="auto"/>
                        <w:left w:val="none" w:sz="0" w:space="0" w:color="auto"/>
                        <w:bottom w:val="none" w:sz="0" w:space="0" w:color="auto"/>
                        <w:right w:val="none" w:sz="0" w:space="0" w:color="auto"/>
                      </w:divBdr>
                      <w:divsChild>
                        <w:div w:id="1616011892">
                          <w:marLeft w:val="0"/>
                          <w:marRight w:val="0"/>
                          <w:marTop w:val="0"/>
                          <w:marBottom w:val="0"/>
                          <w:divBdr>
                            <w:top w:val="none" w:sz="0" w:space="0" w:color="auto"/>
                            <w:left w:val="none" w:sz="0" w:space="0" w:color="auto"/>
                            <w:bottom w:val="none" w:sz="0" w:space="0" w:color="auto"/>
                            <w:right w:val="none" w:sz="0" w:space="0" w:color="auto"/>
                          </w:divBdr>
                          <w:divsChild>
                            <w:div w:id="174661870">
                              <w:marLeft w:val="0"/>
                              <w:marRight w:val="0"/>
                              <w:marTop w:val="0"/>
                              <w:marBottom w:val="0"/>
                              <w:divBdr>
                                <w:top w:val="none" w:sz="0" w:space="0" w:color="auto"/>
                                <w:left w:val="none" w:sz="0" w:space="0" w:color="auto"/>
                                <w:bottom w:val="none" w:sz="0" w:space="0" w:color="auto"/>
                                <w:right w:val="none" w:sz="0" w:space="0" w:color="auto"/>
                              </w:divBdr>
                              <w:divsChild>
                                <w:div w:id="1186168221">
                                  <w:marLeft w:val="0"/>
                                  <w:marRight w:val="-120"/>
                                  <w:marTop w:val="0"/>
                                  <w:marBottom w:val="0"/>
                                  <w:divBdr>
                                    <w:top w:val="single" w:sz="6" w:space="0" w:color="C2C2C2"/>
                                    <w:left w:val="single" w:sz="6" w:space="0" w:color="C2C2C2"/>
                                    <w:bottom w:val="single" w:sz="6" w:space="0" w:color="C2C2C2"/>
                                    <w:right w:val="none" w:sz="0" w:space="0" w:color="auto"/>
                                  </w:divBdr>
                                  <w:divsChild>
                                    <w:div w:id="814688998">
                                      <w:marLeft w:val="0"/>
                                      <w:marRight w:val="0"/>
                                      <w:marTop w:val="0"/>
                                      <w:marBottom w:val="0"/>
                                      <w:divBdr>
                                        <w:top w:val="none" w:sz="0" w:space="0" w:color="auto"/>
                                        <w:left w:val="none" w:sz="0" w:space="0" w:color="auto"/>
                                        <w:bottom w:val="none" w:sz="0" w:space="0" w:color="auto"/>
                                        <w:right w:val="none" w:sz="0" w:space="0" w:color="auto"/>
                                      </w:divBdr>
                                    </w:div>
                                  </w:divsChild>
                                </w:div>
                                <w:div w:id="6830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5391">
                      <w:marLeft w:val="0"/>
                      <w:marRight w:val="0"/>
                      <w:marTop w:val="0"/>
                      <w:marBottom w:val="0"/>
                      <w:divBdr>
                        <w:top w:val="none" w:sz="0" w:space="0" w:color="auto"/>
                        <w:left w:val="none" w:sz="0" w:space="0" w:color="auto"/>
                        <w:bottom w:val="none" w:sz="0" w:space="0" w:color="auto"/>
                        <w:right w:val="none" w:sz="0" w:space="0" w:color="auto"/>
                      </w:divBdr>
                      <w:divsChild>
                        <w:div w:id="197836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3476">
                  <w:marLeft w:val="0"/>
                  <w:marRight w:val="0"/>
                  <w:marTop w:val="0"/>
                  <w:marBottom w:val="0"/>
                  <w:divBdr>
                    <w:top w:val="none" w:sz="0" w:space="0" w:color="auto"/>
                    <w:left w:val="none" w:sz="0" w:space="0" w:color="auto"/>
                    <w:bottom w:val="none" w:sz="0" w:space="0" w:color="auto"/>
                    <w:right w:val="none" w:sz="0" w:space="0" w:color="auto"/>
                  </w:divBdr>
                  <w:divsChild>
                    <w:div w:id="2129464479">
                      <w:marLeft w:val="0"/>
                      <w:marRight w:val="0"/>
                      <w:marTop w:val="0"/>
                      <w:marBottom w:val="0"/>
                      <w:divBdr>
                        <w:top w:val="none" w:sz="0" w:space="0" w:color="auto"/>
                        <w:left w:val="none" w:sz="0" w:space="0" w:color="auto"/>
                        <w:bottom w:val="none" w:sz="0" w:space="0" w:color="auto"/>
                        <w:right w:val="none" w:sz="0" w:space="0" w:color="auto"/>
                      </w:divBdr>
                      <w:divsChild>
                        <w:div w:id="362480076">
                          <w:marLeft w:val="0"/>
                          <w:marRight w:val="0"/>
                          <w:marTop w:val="0"/>
                          <w:marBottom w:val="0"/>
                          <w:divBdr>
                            <w:top w:val="none" w:sz="0" w:space="0" w:color="auto"/>
                            <w:left w:val="none" w:sz="0" w:space="0" w:color="auto"/>
                            <w:bottom w:val="none" w:sz="0" w:space="0" w:color="auto"/>
                            <w:right w:val="none" w:sz="0" w:space="0" w:color="auto"/>
                          </w:divBdr>
                          <w:divsChild>
                            <w:div w:id="1334600919">
                              <w:marLeft w:val="0"/>
                              <w:marRight w:val="0"/>
                              <w:marTop w:val="0"/>
                              <w:marBottom w:val="0"/>
                              <w:divBdr>
                                <w:top w:val="none" w:sz="0" w:space="0" w:color="auto"/>
                                <w:left w:val="none" w:sz="0" w:space="0" w:color="auto"/>
                                <w:bottom w:val="none" w:sz="0" w:space="0" w:color="auto"/>
                                <w:right w:val="none" w:sz="0" w:space="0" w:color="auto"/>
                              </w:divBdr>
                              <w:divsChild>
                                <w:div w:id="492987301">
                                  <w:marLeft w:val="0"/>
                                  <w:marRight w:val="0"/>
                                  <w:marTop w:val="0"/>
                                  <w:marBottom w:val="0"/>
                                  <w:divBdr>
                                    <w:top w:val="none" w:sz="0" w:space="0" w:color="auto"/>
                                    <w:left w:val="none" w:sz="0" w:space="0" w:color="auto"/>
                                    <w:bottom w:val="none" w:sz="0" w:space="0" w:color="auto"/>
                                    <w:right w:val="none" w:sz="0" w:space="0" w:color="auto"/>
                                  </w:divBdr>
                                  <w:divsChild>
                                    <w:div w:id="65151322">
                                      <w:marLeft w:val="0"/>
                                      <w:marRight w:val="0"/>
                                      <w:marTop w:val="0"/>
                                      <w:marBottom w:val="0"/>
                                      <w:divBdr>
                                        <w:top w:val="none" w:sz="0" w:space="0" w:color="auto"/>
                                        <w:left w:val="none" w:sz="0" w:space="0" w:color="auto"/>
                                        <w:bottom w:val="none" w:sz="0" w:space="0" w:color="auto"/>
                                        <w:right w:val="none" w:sz="0" w:space="0" w:color="auto"/>
                                      </w:divBdr>
                                      <w:divsChild>
                                        <w:div w:id="526481233">
                                          <w:marLeft w:val="0"/>
                                          <w:marRight w:val="0"/>
                                          <w:marTop w:val="0"/>
                                          <w:marBottom w:val="0"/>
                                          <w:divBdr>
                                            <w:top w:val="none" w:sz="0" w:space="0" w:color="auto"/>
                                            <w:left w:val="none" w:sz="0" w:space="0" w:color="auto"/>
                                            <w:bottom w:val="none" w:sz="0" w:space="0" w:color="auto"/>
                                            <w:right w:val="none" w:sz="0" w:space="0" w:color="auto"/>
                                          </w:divBdr>
                                          <w:divsChild>
                                            <w:div w:id="11999221">
                                              <w:marLeft w:val="0"/>
                                              <w:marRight w:val="0"/>
                                              <w:marTop w:val="0"/>
                                              <w:marBottom w:val="0"/>
                                              <w:divBdr>
                                                <w:top w:val="none" w:sz="0" w:space="0" w:color="auto"/>
                                                <w:left w:val="none" w:sz="0" w:space="0" w:color="auto"/>
                                                <w:bottom w:val="none" w:sz="0" w:space="0" w:color="auto"/>
                                                <w:right w:val="none" w:sz="0" w:space="0" w:color="auto"/>
                                              </w:divBdr>
                                              <w:divsChild>
                                                <w:div w:id="2039508076">
                                                  <w:marLeft w:val="0"/>
                                                  <w:marRight w:val="0"/>
                                                  <w:marTop w:val="0"/>
                                                  <w:marBottom w:val="0"/>
                                                  <w:divBdr>
                                                    <w:top w:val="none" w:sz="0" w:space="0" w:color="auto"/>
                                                    <w:left w:val="none" w:sz="0" w:space="0" w:color="auto"/>
                                                    <w:bottom w:val="none" w:sz="0" w:space="0" w:color="auto"/>
                                                    <w:right w:val="none" w:sz="0" w:space="0" w:color="auto"/>
                                                  </w:divBdr>
                                                  <w:divsChild>
                                                    <w:div w:id="1776710464">
                                                      <w:marLeft w:val="0"/>
                                                      <w:marRight w:val="0"/>
                                                      <w:marTop w:val="0"/>
                                                      <w:marBottom w:val="0"/>
                                                      <w:divBdr>
                                                        <w:top w:val="none" w:sz="0" w:space="0" w:color="auto"/>
                                                        <w:left w:val="none" w:sz="0" w:space="0" w:color="auto"/>
                                                        <w:bottom w:val="none" w:sz="0" w:space="0" w:color="auto"/>
                                                        <w:right w:val="none" w:sz="0" w:space="0" w:color="auto"/>
                                                      </w:divBdr>
                                                      <w:divsChild>
                                                        <w:div w:id="1494447071">
                                                          <w:marLeft w:val="0"/>
                                                          <w:marRight w:val="0"/>
                                                          <w:marTop w:val="0"/>
                                                          <w:marBottom w:val="0"/>
                                                          <w:divBdr>
                                                            <w:top w:val="none" w:sz="0" w:space="0" w:color="auto"/>
                                                            <w:left w:val="none" w:sz="0" w:space="0" w:color="auto"/>
                                                            <w:bottom w:val="none" w:sz="0" w:space="0" w:color="auto"/>
                                                            <w:right w:val="none" w:sz="0" w:space="0" w:color="auto"/>
                                                          </w:divBdr>
                                                          <w:divsChild>
                                                            <w:div w:id="41096903">
                                                              <w:marLeft w:val="0"/>
                                                              <w:marRight w:val="0"/>
                                                              <w:marTop w:val="0"/>
                                                              <w:marBottom w:val="0"/>
                                                              <w:divBdr>
                                                                <w:top w:val="none" w:sz="0" w:space="0" w:color="auto"/>
                                                                <w:left w:val="none" w:sz="0" w:space="0" w:color="auto"/>
                                                                <w:bottom w:val="none" w:sz="0" w:space="0" w:color="auto"/>
                                                                <w:right w:val="none" w:sz="0" w:space="0" w:color="auto"/>
                                                              </w:divBdr>
                                                              <w:divsChild>
                                                                <w:div w:id="16127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91172">
                              <w:marLeft w:val="0"/>
                              <w:marRight w:val="0"/>
                              <w:marTop w:val="0"/>
                              <w:marBottom w:val="0"/>
                              <w:divBdr>
                                <w:top w:val="none" w:sz="0" w:space="0" w:color="auto"/>
                                <w:left w:val="none" w:sz="0" w:space="0" w:color="auto"/>
                                <w:bottom w:val="none" w:sz="0" w:space="0" w:color="auto"/>
                                <w:right w:val="none" w:sz="0" w:space="0" w:color="auto"/>
                              </w:divBdr>
                              <w:divsChild>
                                <w:div w:id="650644833">
                                  <w:marLeft w:val="0"/>
                                  <w:marRight w:val="0"/>
                                  <w:marTop w:val="0"/>
                                  <w:marBottom w:val="0"/>
                                  <w:divBdr>
                                    <w:top w:val="none" w:sz="0" w:space="0" w:color="auto"/>
                                    <w:left w:val="none" w:sz="0" w:space="0" w:color="auto"/>
                                    <w:bottom w:val="none" w:sz="0" w:space="0" w:color="auto"/>
                                    <w:right w:val="none" w:sz="0" w:space="0" w:color="auto"/>
                                  </w:divBdr>
                                  <w:divsChild>
                                    <w:div w:id="858659769">
                                      <w:marLeft w:val="0"/>
                                      <w:marRight w:val="0"/>
                                      <w:marTop w:val="0"/>
                                      <w:marBottom w:val="0"/>
                                      <w:divBdr>
                                        <w:top w:val="none" w:sz="0" w:space="0" w:color="auto"/>
                                        <w:left w:val="none" w:sz="0" w:space="0" w:color="auto"/>
                                        <w:bottom w:val="none" w:sz="0" w:space="0" w:color="auto"/>
                                        <w:right w:val="none" w:sz="0" w:space="0" w:color="auto"/>
                                      </w:divBdr>
                                      <w:divsChild>
                                        <w:div w:id="1680352980">
                                          <w:marLeft w:val="0"/>
                                          <w:marRight w:val="0"/>
                                          <w:marTop w:val="0"/>
                                          <w:marBottom w:val="0"/>
                                          <w:divBdr>
                                            <w:top w:val="none" w:sz="0" w:space="0" w:color="auto"/>
                                            <w:left w:val="none" w:sz="0" w:space="0" w:color="auto"/>
                                            <w:bottom w:val="none" w:sz="0" w:space="0" w:color="auto"/>
                                            <w:right w:val="none" w:sz="0" w:space="0" w:color="auto"/>
                                          </w:divBdr>
                                          <w:divsChild>
                                            <w:div w:id="1647778797">
                                              <w:marLeft w:val="0"/>
                                              <w:marRight w:val="0"/>
                                              <w:marTop w:val="0"/>
                                              <w:marBottom w:val="0"/>
                                              <w:divBdr>
                                                <w:top w:val="none" w:sz="0" w:space="0" w:color="auto"/>
                                                <w:left w:val="none" w:sz="0" w:space="0" w:color="auto"/>
                                                <w:bottom w:val="none" w:sz="0" w:space="0" w:color="auto"/>
                                                <w:right w:val="none" w:sz="0" w:space="0" w:color="auto"/>
                                              </w:divBdr>
                                              <w:divsChild>
                                                <w:div w:id="1081754935">
                                                  <w:marLeft w:val="0"/>
                                                  <w:marRight w:val="0"/>
                                                  <w:marTop w:val="0"/>
                                                  <w:marBottom w:val="0"/>
                                                  <w:divBdr>
                                                    <w:top w:val="none" w:sz="0" w:space="0" w:color="auto"/>
                                                    <w:left w:val="none" w:sz="0" w:space="0" w:color="auto"/>
                                                    <w:bottom w:val="none" w:sz="0" w:space="0" w:color="auto"/>
                                                    <w:right w:val="none" w:sz="0" w:space="0" w:color="auto"/>
                                                  </w:divBdr>
                                                  <w:divsChild>
                                                    <w:div w:id="1029451354">
                                                      <w:marLeft w:val="0"/>
                                                      <w:marRight w:val="0"/>
                                                      <w:marTop w:val="0"/>
                                                      <w:marBottom w:val="0"/>
                                                      <w:divBdr>
                                                        <w:top w:val="none" w:sz="0" w:space="0" w:color="auto"/>
                                                        <w:left w:val="none" w:sz="0" w:space="0" w:color="auto"/>
                                                        <w:bottom w:val="none" w:sz="0" w:space="0" w:color="auto"/>
                                                        <w:right w:val="none" w:sz="0" w:space="0" w:color="auto"/>
                                                      </w:divBdr>
                                                      <w:divsChild>
                                                        <w:div w:id="1101268143">
                                                          <w:marLeft w:val="0"/>
                                                          <w:marRight w:val="0"/>
                                                          <w:marTop w:val="0"/>
                                                          <w:marBottom w:val="0"/>
                                                          <w:divBdr>
                                                            <w:top w:val="none" w:sz="0" w:space="0" w:color="auto"/>
                                                            <w:left w:val="none" w:sz="0" w:space="0" w:color="auto"/>
                                                            <w:bottom w:val="none" w:sz="0" w:space="0" w:color="auto"/>
                                                            <w:right w:val="none" w:sz="0" w:space="0" w:color="auto"/>
                                                          </w:divBdr>
                                                          <w:divsChild>
                                                            <w:div w:id="2016154844">
                                                              <w:marLeft w:val="0"/>
                                                              <w:marRight w:val="0"/>
                                                              <w:marTop w:val="0"/>
                                                              <w:marBottom w:val="0"/>
                                                              <w:divBdr>
                                                                <w:top w:val="none" w:sz="0" w:space="0" w:color="auto"/>
                                                                <w:left w:val="none" w:sz="0" w:space="0" w:color="auto"/>
                                                                <w:bottom w:val="none" w:sz="0" w:space="0" w:color="auto"/>
                                                                <w:right w:val="none" w:sz="0" w:space="0" w:color="auto"/>
                                                              </w:divBdr>
                                                              <w:divsChild>
                                                                <w:div w:id="1630361139">
                                                                  <w:marLeft w:val="0"/>
                                                                  <w:marRight w:val="0"/>
                                                                  <w:marTop w:val="0"/>
                                                                  <w:marBottom w:val="0"/>
                                                                  <w:divBdr>
                                                                    <w:top w:val="none" w:sz="0" w:space="0" w:color="auto"/>
                                                                    <w:left w:val="none" w:sz="0" w:space="0" w:color="auto"/>
                                                                    <w:bottom w:val="none" w:sz="0" w:space="0" w:color="auto"/>
                                                                    <w:right w:val="none" w:sz="0" w:space="0" w:color="auto"/>
                                                                  </w:divBdr>
                                                                  <w:divsChild>
                                                                    <w:div w:id="54467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44380702">
      <w:bodyDiv w:val="1"/>
      <w:marLeft w:val="0"/>
      <w:marRight w:val="0"/>
      <w:marTop w:val="0"/>
      <w:marBottom w:val="0"/>
      <w:divBdr>
        <w:top w:val="none" w:sz="0" w:space="0" w:color="auto"/>
        <w:left w:val="none" w:sz="0" w:space="0" w:color="auto"/>
        <w:bottom w:val="none" w:sz="0" w:space="0" w:color="auto"/>
        <w:right w:val="none" w:sz="0" w:space="0" w:color="auto"/>
      </w:divBdr>
    </w:div>
    <w:div w:id="773986650">
      <w:bodyDiv w:val="1"/>
      <w:marLeft w:val="0"/>
      <w:marRight w:val="0"/>
      <w:marTop w:val="0"/>
      <w:marBottom w:val="0"/>
      <w:divBdr>
        <w:top w:val="none" w:sz="0" w:space="0" w:color="auto"/>
        <w:left w:val="none" w:sz="0" w:space="0" w:color="auto"/>
        <w:bottom w:val="none" w:sz="0" w:space="0" w:color="auto"/>
        <w:right w:val="none" w:sz="0" w:space="0" w:color="auto"/>
      </w:divBdr>
      <w:divsChild>
        <w:div w:id="392239912">
          <w:marLeft w:val="0"/>
          <w:marRight w:val="0"/>
          <w:marTop w:val="0"/>
          <w:marBottom w:val="0"/>
          <w:divBdr>
            <w:top w:val="none" w:sz="0" w:space="0" w:color="auto"/>
            <w:left w:val="none" w:sz="0" w:space="0" w:color="auto"/>
            <w:bottom w:val="none" w:sz="0" w:space="0" w:color="auto"/>
            <w:right w:val="none" w:sz="0" w:space="0" w:color="auto"/>
          </w:divBdr>
          <w:divsChild>
            <w:div w:id="1905334818">
              <w:marLeft w:val="0"/>
              <w:marRight w:val="0"/>
              <w:marTop w:val="0"/>
              <w:marBottom w:val="0"/>
              <w:divBdr>
                <w:top w:val="none" w:sz="0" w:space="0" w:color="auto"/>
                <w:left w:val="none" w:sz="0" w:space="0" w:color="auto"/>
                <w:bottom w:val="none" w:sz="0" w:space="0" w:color="auto"/>
                <w:right w:val="none" w:sz="0" w:space="0" w:color="auto"/>
              </w:divBdr>
            </w:div>
          </w:divsChild>
        </w:div>
        <w:div w:id="664169567">
          <w:marLeft w:val="0"/>
          <w:marRight w:val="0"/>
          <w:marTop w:val="0"/>
          <w:marBottom w:val="0"/>
          <w:divBdr>
            <w:top w:val="none" w:sz="0" w:space="0" w:color="auto"/>
            <w:left w:val="none" w:sz="0" w:space="0" w:color="auto"/>
            <w:bottom w:val="none" w:sz="0" w:space="0" w:color="auto"/>
            <w:right w:val="none" w:sz="0" w:space="0" w:color="auto"/>
          </w:divBdr>
          <w:divsChild>
            <w:div w:id="187187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82202">
      <w:bodyDiv w:val="1"/>
      <w:marLeft w:val="0"/>
      <w:marRight w:val="0"/>
      <w:marTop w:val="0"/>
      <w:marBottom w:val="0"/>
      <w:divBdr>
        <w:top w:val="none" w:sz="0" w:space="0" w:color="auto"/>
        <w:left w:val="none" w:sz="0" w:space="0" w:color="auto"/>
        <w:bottom w:val="none" w:sz="0" w:space="0" w:color="auto"/>
        <w:right w:val="none" w:sz="0" w:space="0" w:color="auto"/>
      </w:divBdr>
    </w:div>
    <w:div w:id="803429017">
      <w:bodyDiv w:val="1"/>
      <w:marLeft w:val="0"/>
      <w:marRight w:val="0"/>
      <w:marTop w:val="0"/>
      <w:marBottom w:val="0"/>
      <w:divBdr>
        <w:top w:val="none" w:sz="0" w:space="0" w:color="auto"/>
        <w:left w:val="none" w:sz="0" w:space="0" w:color="auto"/>
        <w:bottom w:val="none" w:sz="0" w:space="0" w:color="auto"/>
        <w:right w:val="none" w:sz="0" w:space="0" w:color="auto"/>
      </w:divBdr>
      <w:divsChild>
        <w:div w:id="159732998">
          <w:marLeft w:val="0"/>
          <w:marRight w:val="0"/>
          <w:marTop w:val="240"/>
          <w:marBottom w:val="120"/>
          <w:divBdr>
            <w:top w:val="none" w:sz="0" w:space="0" w:color="auto"/>
            <w:left w:val="none" w:sz="0" w:space="0" w:color="auto"/>
            <w:bottom w:val="none" w:sz="0" w:space="0" w:color="auto"/>
            <w:right w:val="none" w:sz="0" w:space="0" w:color="auto"/>
          </w:divBdr>
        </w:div>
        <w:div w:id="1678582030">
          <w:marLeft w:val="0"/>
          <w:marRight w:val="0"/>
          <w:marTop w:val="240"/>
          <w:marBottom w:val="120"/>
          <w:divBdr>
            <w:top w:val="none" w:sz="0" w:space="0" w:color="auto"/>
            <w:left w:val="none" w:sz="0" w:space="0" w:color="auto"/>
            <w:bottom w:val="none" w:sz="0" w:space="0" w:color="auto"/>
            <w:right w:val="none" w:sz="0" w:space="0" w:color="auto"/>
          </w:divBdr>
        </w:div>
      </w:divsChild>
    </w:div>
    <w:div w:id="869731778">
      <w:bodyDiv w:val="1"/>
      <w:marLeft w:val="0"/>
      <w:marRight w:val="0"/>
      <w:marTop w:val="0"/>
      <w:marBottom w:val="0"/>
      <w:divBdr>
        <w:top w:val="none" w:sz="0" w:space="0" w:color="auto"/>
        <w:left w:val="none" w:sz="0" w:space="0" w:color="auto"/>
        <w:bottom w:val="none" w:sz="0" w:space="0" w:color="auto"/>
        <w:right w:val="none" w:sz="0" w:space="0" w:color="auto"/>
      </w:divBdr>
      <w:divsChild>
        <w:div w:id="194392575">
          <w:marLeft w:val="0"/>
          <w:marRight w:val="0"/>
          <w:marTop w:val="24"/>
          <w:marBottom w:val="0"/>
          <w:divBdr>
            <w:top w:val="none" w:sz="0" w:space="0" w:color="auto"/>
            <w:left w:val="none" w:sz="0" w:space="0" w:color="auto"/>
            <w:bottom w:val="none" w:sz="0" w:space="0" w:color="auto"/>
            <w:right w:val="none" w:sz="0" w:space="0" w:color="auto"/>
          </w:divBdr>
        </w:div>
        <w:div w:id="1394809806">
          <w:marLeft w:val="0"/>
          <w:marRight w:val="0"/>
          <w:marTop w:val="24"/>
          <w:marBottom w:val="0"/>
          <w:divBdr>
            <w:top w:val="none" w:sz="0" w:space="0" w:color="auto"/>
            <w:left w:val="none" w:sz="0" w:space="0" w:color="auto"/>
            <w:bottom w:val="none" w:sz="0" w:space="0" w:color="auto"/>
            <w:right w:val="none" w:sz="0" w:space="0" w:color="auto"/>
          </w:divBdr>
          <w:divsChild>
            <w:div w:id="422723747">
              <w:marLeft w:val="0"/>
              <w:marRight w:val="0"/>
              <w:marTop w:val="24"/>
              <w:marBottom w:val="0"/>
              <w:divBdr>
                <w:top w:val="none" w:sz="0" w:space="0" w:color="auto"/>
                <w:left w:val="none" w:sz="0" w:space="0" w:color="auto"/>
                <w:bottom w:val="none" w:sz="0" w:space="0" w:color="auto"/>
                <w:right w:val="none" w:sz="0" w:space="0" w:color="auto"/>
              </w:divBdr>
            </w:div>
          </w:divsChild>
        </w:div>
      </w:divsChild>
    </w:div>
    <w:div w:id="915475146">
      <w:bodyDiv w:val="1"/>
      <w:marLeft w:val="0"/>
      <w:marRight w:val="0"/>
      <w:marTop w:val="0"/>
      <w:marBottom w:val="0"/>
      <w:divBdr>
        <w:top w:val="none" w:sz="0" w:space="0" w:color="auto"/>
        <w:left w:val="none" w:sz="0" w:space="0" w:color="auto"/>
        <w:bottom w:val="none" w:sz="0" w:space="0" w:color="auto"/>
        <w:right w:val="none" w:sz="0" w:space="0" w:color="auto"/>
      </w:divBdr>
      <w:divsChild>
        <w:div w:id="1915166712">
          <w:marLeft w:val="0"/>
          <w:marRight w:val="0"/>
          <w:marTop w:val="240"/>
          <w:marBottom w:val="120"/>
          <w:divBdr>
            <w:top w:val="none" w:sz="0" w:space="0" w:color="auto"/>
            <w:left w:val="none" w:sz="0" w:space="0" w:color="auto"/>
            <w:bottom w:val="none" w:sz="0" w:space="0" w:color="auto"/>
            <w:right w:val="none" w:sz="0" w:space="0" w:color="auto"/>
          </w:divBdr>
        </w:div>
        <w:div w:id="126628469">
          <w:marLeft w:val="0"/>
          <w:marRight w:val="0"/>
          <w:marTop w:val="240"/>
          <w:marBottom w:val="120"/>
          <w:divBdr>
            <w:top w:val="none" w:sz="0" w:space="0" w:color="auto"/>
            <w:left w:val="none" w:sz="0" w:space="0" w:color="auto"/>
            <w:bottom w:val="none" w:sz="0" w:space="0" w:color="auto"/>
            <w:right w:val="none" w:sz="0" w:space="0" w:color="auto"/>
          </w:divBdr>
        </w:div>
      </w:divsChild>
    </w:div>
    <w:div w:id="919103582">
      <w:bodyDiv w:val="1"/>
      <w:marLeft w:val="0"/>
      <w:marRight w:val="0"/>
      <w:marTop w:val="0"/>
      <w:marBottom w:val="0"/>
      <w:divBdr>
        <w:top w:val="none" w:sz="0" w:space="0" w:color="auto"/>
        <w:left w:val="none" w:sz="0" w:space="0" w:color="auto"/>
        <w:bottom w:val="none" w:sz="0" w:space="0" w:color="auto"/>
        <w:right w:val="none" w:sz="0" w:space="0" w:color="auto"/>
      </w:divBdr>
      <w:divsChild>
        <w:div w:id="903563344">
          <w:marLeft w:val="0"/>
          <w:marRight w:val="0"/>
          <w:marTop w:val="240"/>
          <w:marBottom w:val="120"/>
          <w:divBdr>
            <w:top w:val="none" w:sz="0" w:space="0" w:color="auto"/>
            <w:left w:val="none" w:sz="0" w:space="0" w:color="auto"/>
            <w:bottom w:val="none" w:sz="0" w:space="0" w:color="auto"/>
            <w:right w:val="none" w:sz="0" w:space="0" w:color="auto"/>
          </w:divBdr>
        </w:div>
        <w:div w:id="1362243348">
          <w:marLeft w:val="0"/>
          <w:marRight w:val="0"/>
          <w:marTop w:val="240"/>
          <w:marBottom w:val="120"/>
          <w:divBdr>
            <w:top w:val="none" w:sz="0" w:space="0" w:color="auto"/>
            <w:left w:val="none" w:sz="0" w:space="0" w:color="auto"/>
            <w:bottom w:val="none" w:sz="0" w:space="0" w:color="auto"/>
            <w:right w:val="none" w:sz="0" w:space="0" w:color="auto"/>
          </w:divBdr>
        </w:div>
      </w:divsChild>
    </w:div>
    <w:div w:id="957371017">
      <w:bodyDiv w:val="1"/>
      <w:marLeft w:val="0"/>
      <w:marRight w:val="0"/>
      <w:marTop w:val="0"/>
      <w:marBottom w:val="0"/>
      <w:divBdr>
        <w:top w:val="none" w:sz="0" w:space="0" w:color="auto"/>
        <w:left w:val="none" w:sz="0" w:space="0" w:color="auto"/>
        <w:bottom w:val="none" w:sz="0" w:space="0" w:color="auto"/>
        <w:right w:val="none" w:sz="0" w:space="0" w:color="auto"/>
      </w:divBdr>
      <w:divsChild>
        <w:div w:id="436605053">
          <w:marLeft w:val="0"/>
          <w:marRight w:val="0"/>
          <w:marTop w:val="0"/>
          <w:marBottom w:val="0"/>
          <w:divBdr>
            <w:top w:val="none" w:sz="0" w:space="0" w:color="auto"/>
            <w:left w:val="none" w:sz="0" w:space="0" w:color="auto"/>
            <w:bottom w:val="none" w:sz="0" w:space="0" w:color="auto"/>
            <w:right w:val="none" w:sz="0" w:space="0" w:color="auto"/>
          </w:divBdr>
          <w:divsChild>
            <w:div w:id="1663191352">
              <w:marLeft w:val="0"/>
              <w:marRight w:val="0"/>
              <w:marTop w:val="0"/>
              <w:marBottom w:val="0"/>
              <w:divBdr>
                <w:top w:val="none" w:sz="0" w:space="0" w:color="auto"/>
                <w:left w:val="none" w:sz="0" w:space="0" w:color="auto"/>
                <w:bottom w:val="none" w:sz="0" w:space="0" w:color="auto"/>
                <w:right w:val="none" w:sz="0" w:space="0" w:color="auto"/>
              </w:divBdr>
              <w:divsChild>
                <w:div w:id="86980584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29382868">
          <w:marLeft w:val="0"/>
          <w:marRight w:val="0"/>
          <w:marTop w:val="0"/>
          <w:marBottom w:val="0"/>
          <w:divBdr>
            <w:top w:val="none" w:sz="0" w:space="0" w:color="auto"/>
            <w:left w:val="none" w:sz="0" w:space="0" w:color="auto"/>
            <w:bottom w:val="none" w:sz="0" w:space="0" w:color="auto"/>
            <w:right w:val="none" w:sz="0" w:space="0" w:color="auto"/>
          </w:divBdr>
          <w:divsChild>
            <w:div w:id="1694769901">
              <w:marLeft w:val="0"/>
              <w:marRight w:val="0"/>
              <w:marTop w:val="0"/>
              <w:marBottom w:val="0"/>
              <w:divBdr>
                <w:top w:val="none" w:sz="0" w:space="0" w:color="auto"/>
                <w:left w:val="none" w:sz="0" w:space="0" w:color="auto"/>
                <w:bottom w:val="none" w:sz="0" w:space="0" w:color="auto"/>
                <w:right w:val="none" w:sz="0" w:space="0" w:color="auto"/>
              </w:divBdr>
              <w:divsChild>
                <w:div w:id="3784807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2450870">
          <w:marLeft w:val="0"/>
          <w:marRight w:val="0"/>
          <w:marTop w:val="0"/>
          <w:marBottom w:val="0"/>
          <w:divBdr>
            <w:top w:val="none" w:sz="0" w:space="0" w:color="auto"/>
            <w:left w:val="none" w:sz="0" w:space="0" w:color="auto"/>
            <w:bottom w:val="none" w:sz="0" w:space="0" w:color="auto"/>
            <w:right w:val="none" w:sz="0" w:space="0" w:color="auto"/>
          </w:divBdr>
          <w:divsChild>
            <w:div w:id="1038166639">
              <w:marLeft w:val="0"/>
              <w:marRight w:val="0"/>
              <w:marTop w:val="0"/>
              <w:marBottom w:val="0"/>
              <w:divBdr>
                <w:top w:val="none" w:sz="0" w:space="0" w:color="auto"/>
                <w:left w:val="none" w:sz="0" w:space="0" w:color="auto"/>
                <w:bottom w:val="none" w:sz="0" w:space="0" w:color="auto"/>
                <w:right w:val="none" w:sz="0" w:space="0" w:color="auto"/>
              </w:divBdr>
              <w:divsChild>
                <w:div w:id="14822307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33335670">
          <w:marLeft w:val="0"/>
          <w:marRight w:val="0"/>
          <w:marTop w:val="0"/>
          <w:marBottom w:val="0"/>
          <w:divBdr>
            <w:top w:val="none" w:sz="0" w:space="0" w:color="auto"/>
            <w:left w:val="none" w:sz="0" w:space="0" w:color="auto"/>
            <w:bottom w:val="none" w:sz="0" w:space="0" w:color="auto"/>
            <w:right w:val="none" w:sz="0" w:space="0" w:color="auto"/>
          </w:divBdr>
          <w:divsChild>
            <w:div w:id="2001731817">
              <w:marLeft w:val="0"/>
              <w:marRight w:val="0"/>
              <w:marTop w:val="0"/>
              <w:marBottom w:val="0"/>
              <w:divBdr>
                <w:top w:val="none" w:sz="0" w:space="0" w:color="auto"/>
                <w:left w:val="none" w:sz="0" w:space="0" w:color="auto"/>
                <w:bottom w:val="none" w:sz="0" w:space="0" w:color="auto"/>
                <w:right w:val="none" w:sz="0" w:space="0" w:color="auto"/>
              </w:divBdr>
              <w:divsChild>
                <w:div w:id="13326856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6624166">
          <w:marLeft w:val="0"/>
          <w:marRight w:val="0"/>
          <w:marTop w:val="0"/>
          <w:marBottom w:val="0"/>
          <w:divBdr>
            <w:top w:val="none" w:sz="0" w:space="0" w:color="auto"/>
            <w:left w:val="none" w:sz="0" w:space="0" w:color="auto"/>
            <w:bottom w:val="none" w:sz="0" w:space="0" w:color="auto"/>
            <w:right w:val="none" w:sz="0" w:space="0" w:color="auto"/>
          </w:divBdr>
          <w:divsChild>
            <w:div w:id="20387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1580">
      <w:bodyDiv w:val="1"/>
      <w:marLeft w:val="0"/>
      <w:marRight w:val="0"/>
      <w:marTop w:val="0"/>
      <w:marBottom w:val="0"/>
      <w:divBdr>
        <w:top w:val="none" w:sz="0" w:space="0" w:color="auto"/>
        <w:left w:val="none" w:sz="0" w:space="0" w:color="auto"/>
        <w:bottom w:val="none" w:sz="0" w:space="0" w:color="auto"/>
        <w:right w:val="none" w:sz="0" w:space="0" w:color="auto"/>
      </w:divBdr>
      <w:divsChild>
        <w:div w:id="1978757805">
          <w:marLeft w:val="0"/>
          <w:marRight w:val="0"/>
          <w:marTop w:val="240"/>
          <w:marBottom w:val="120"/>
          <w:divBdr>
            <w:top w:val="none" w:sz="0" w:space="0" w:color="auto"/>
            <w:left w:val="none" w:sz="0" w:space="0" w:color="auto"/>
            <w:bottom w:val="none" w:sz="0" w:space="0" w:color="auto"/>
            <w:right w:val="none" w:sz="0" w:space="0" w:color="auto"/>
          </w:divBdr>
        </w:div>
        <w:div w:id="2085224753">
          <w:marLeft w:val="0"/>
          <w:marRight w:val="0"/>
          <w:marTop w:val="240"/>
          <w:marBottom w:val="120"/>
          <w:divBdr>
            <w:top w:val="none" w:sz="0" w:space="0" w:color="auto"/>
            <w:left w:val="none" w:sz="0" w:space="0" w:color="auto"/>
            <w:bottom w:val="none" w:sz="0" w:space="0" w:color="auto"/>
            <w:right w:val="none" w:sz="0" w:space="0" w:color="auto"/>
          </w:divBdr>
        </w:div>
      </w:divsChild>
    </w:div>
    <w:div w:id="987788403">
      <w:bodyDiv w:val="1"/>
      <w:marLeft w:val="0"/>
      <w:marRight w:val="0"/>
      <w:marTop w:val="0"/>
      <w:marBottom w:val="0"/>
      <w:divBdr>
        <w:top w:val="none" w:sz="0" w:space="0" w:color="auto"/>
        <w:left w:val="none" w:sz="0" w:space="0" w:color="auto"/>
        <w:bottom w:val="none" w:sz="0" w:space="0" w:color="auto"/>
        <w:right w:val="none" w:sz="0" w:space="0" w:color="auto"/>
      </w:divBdr>
    </w:div>
    <w:div w:id="1021323197">
      <w:bodyDiv w:val="1"/>
      <w:marLeft w:val="0"/>
      <w:marRight w:val="0"/>
      <w:marTop w:val="0"/>
      <w:marBottom w:val="0"/>
      <w:divBdr>
        <w:top w:val="none" w:sz="0" w:space="0" w:color="auto"/>
        <w:left w:val="none" w:sz="0" w:space="0" w:color="auto"/>
        <w:bottom w:val="none" w:sz="0" w:space="0" w:color="auto"/>
        <w:right w:val="none" w:sz="0" w:space="0" w:color="auto"/>
      </w:divBdr>
    </w:div>
    <w:div w:id="1050304510">
      <w:bodyDiv w:val="1"/>
      <w:marLeft w:val="0"/>
      <w:marRight w:val="0"/>
      <w:marTop w:val="0"/>
      <w:marBottom w:val="0"/>
      <w:divBdr>
        <w:top w:val="none" w:sz="0" w:space="0" w:color="auto"/>
        <w:left w:val="none" w:sz="0" w:space="0" w:color="auto"/>
        <w:bottom w:val="none" w:sz="0" w:space="0" w:color="auto"/>
        <w:right w:val="none" w:sz="0" w:space="0" w:color="auto"/>
      </w:divBdr>
    </w:div>
    <w:div w:id="1057440532">
      <w:bodyDiv w:val="1"/>
      <w:marLeft w:val="0"/>
      <w:marRight w:val="0"/>
      <w:marTop w:val="0"/>
      <w:marBottom w:val="0"/>
      <w:divBdr>
        <w:top w:val="none" w:sz="0" w:space="0" w:color="auto"/>
        <w:left w:val="none" w:sz="0" w:space="0" w:color="auto"/>
        <w:bottom w:val="none" w:sz="0" w:space="0" w:color="auto"/>
        <w:right w:val="none" w:sz="0" w:space="0" w:color="auto"/>
      </w:divBdr>
      <w:divsChild>
        <w:div w:id="128785561">
          <w:marLeft w:val="0"/>
          <w:marRight w:val="0"/>
          <w:marTop w:val="0"/>
          <w:marBottom w:val="0"/>
          <w:divBdr>
            <w:top w:val="none" w:sz="0" w:space="0" w:color="auto"/>
            <w:left w:val="none" w:sz="0" w:space="0" w:color="auto"/>
            <w:bottom w:val="none" w:sz="0" w:space="0" w:color="auto"/>
            <w:right w:val="none" w:sz="0" w:space="0" w:color="auto"/>
          </w:divBdr>
        </w:div>
        <w:div w:id="961888734">
          <w:marLeft w:val="0"/>
          <w:marRight w:val="0"/>
          <w:marTop w:val="240"/>
          <w:marBottom w:val="120"/>
          <w:divBdr>
            <w:top w:val="none" w:sz="0" w:space="0" w:color="auto"/>
            <w:left w:val="none" w:sz="0" w:space="0" w:color="auto"/>
            <w:bottom w:val="none" w:sz="0" w:space="0" w:color="auto"/>
            <w:right w:val="none" w:sz="0" w:space="0" w:color="auto"/>
          </w:divBdr>
        </w:div>
        <w:div w:id="1840340923">
          <w:marLeft w:val="0"/>
          <w:marRight w:val="0"/>
          <w:marTop w:val="240"/>
          <w:marBottom w:val="120"/>
          <w:divBdr>
            <w:top w:val="none" w:sz="0" w:space="0" w:color="auto"/>
            <w:left w:val="none" w:sz="0" w:space="0" w:color="auto"/>
            <w:bottom w:val="none" w:sz="0" w:space="0" w:color="auto"/>
            <w:right w:val="none" w:sz="0" w:space="0" w:color="auto"/>
          </w:divBdr>
        </w:div>
      </w:divsChild>
    </w:div>
    <w:div w:id="1064374406">
      <w:bodyDiv w:val="1"/>
      <w:marLeft w:val="0"/>
      <w:marRight w:val="0"/>
      <w:marTop w:val="0"/>
      <w:marBottom w:val="0"/>
      <w:divBdr>
        <w:top w:val="none" w:sz="0" w:space="0" w:color="auto"/>
        <w:left w:val="none" w:sz="0" w:space="0" w:color="auto"/>
        <w:bottom w:val="none" w:sz="0" w:space="0" w:color="auto"/>
        <w:right w:val="none" w:sz="0" w:space="0" w:color="auto"/>
      </w:divBdr>
      <w:divsChild>
        <w:div w:id="1616642268">
          <w:marLeft w:val="0"/>
          <w:marRight w:val="0"/>
          <w:marTop w:val="0"/>
          <w:marBottom w:val="0"/>
          <w:divBdr>
            <w:top w:val="none" w:sz="0" w:space="0" w:color="auto"/>
            <w:left w:val="none" w:sz="0" w:space="0" w:color="auto"/>
            <w:bottom w:val="none" w:sz="0" w:space="0" w:color="auto"/>
            <w:right w:val="none" w:sz="0" w:space="0" w:color="auto"/>
          </w:divBdr>
          <w:divsChild>
            <w:div w:id="29846601">
              <w:marLeft w:val="0"/>
              <w:marRight w:val="0"/>
              <w:marTop w:val="0"/>
              <w:marBottom w:val="0"/>
              <w:divBdr>
                <w:top w:val="none" w:sz="0" w:space="0" w:color="auto"/>
                <w:left w:val="none" w:sz="0" w:space="0" w:color="auto"/>
                <w:bottom w:val="none" w:sz="0" w:space="0" w:color="auto"/>
                <w:right w:val="none" w:sz="0" w:space="0" w:color="auto"/>
              </w:divBdr>
            </w:div>
          </w:divsChild>
        </w:div>
        <w:div w:id="591933735">
          <w:marLeft w:val="0"/>
          <w:marRight w:val="0"/>
          <w:marTop w:val="0"/>
          <w:marBottom w:val="0"/>
          <w:divBdr>
            <w:top w:val="none" w:sz="0" w:space="0" w:color="auto"/>
            <w:left w:val="none" w:sz="0" w:space="0" w:color="auto"/>
            <w:bottom w:val="none" w:sz="0" w:space="0" w:color="auto"/>
            <w:right w:val="none" w:sz="0" w:space="0" w:color="auto"/>
          </w:divBdr>
          <w:divsChild>
            <w:div w:id="1219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1762">
      <w:bodyDiv w:val="1"/>
      <w:marLeft w:val="0"/>
      <w:marRight w:val="0"/>
      <w:marTop w:val="0"/>
      <w:marBottom w:val="0"/>
      <w:divBdr>
        <w:top w:val="none" w:sz="0" w:space="0" w:color="auto"/>
        <w:left w:val="none" w:sz="0" w:space="0" w:color="auto"/>
        <w:bottom w:val="none" w:sz="0" w:space="0" w:color="auto"/>
        <w:right w:val="none" w:sz="0" w:space="0" w:color="auto"/>
      </w:divBdr>
    </w:div>
    <w:div w:id="1087271186">
      <w:bodyDiv w:val="1"/>
      <w:marLeft w:val="0"/>
      <w:marRight w:val="0"/>
      <w:marTop w:val="0"/>
      <w:marBottom w:val="0"/>
      <w:divBdr>
        <w:top w:val="none" w:sz="0" w:space="0" w:color="auto"/>
        <w:left w:val="none" w:sz="0" w:space="0" w:color="auto"/>
        <w:bottom w:val="none" w:sz="0" w:space="0" w:color="auto"/>
        <w:right w:val="none" w:sz="0" w:space="0" w:color="auto"/>
      </w:divBdr>
      <w:divsChild>
        <w:div w:id="475148838">
          <w:marLeft w:val="0"/>
          <w:marRight w:val="0"/>
          <w:marTop w:val="240"/>
          <w:marBottom w:val="120"/>
          <w:divBdr>
            <w:top w:val="none" w:sz="0" w:space="0" w:color="auto"/>
            <w:left w:val="none" w:sz="0" w:space="0" w:color="auto"/>
            <w:bottom w:val="none" w:sz="0" w:space="0" w:color="auto"/>
            <w:right w:val="none" w:sz="0" w:space="0" w:color="auto"/>
          </w:divBdr>
        </w:div>
        <w:div w:id="1654797294">
          <w:marLeft w:val="0"/>
          <w:marRight w:val="0"/>
          <w:marTop w:val="240"/>
          <w:marBottom w:val="120"/>
          <w:divBdr>
            <w:top w:val="none" w:sz="0" w:space="0" w:color="auto"/>
            <w:left w:val="none" w:sz="0" w:space="0" w:color="auto"/>
            <w:bottom w:val="none" w:sz="0" w:space="0" w:color="auto"/>
            <w:right w:val="none" w:sz="0" w:space="0" w:color="auto"/>
          </w:divBdr>
        </w:div>
      </w:divsChild>
    </w:div>
    <w:div w:id="1094857073">
      <w:bodyDiv w:val="1"/>
      <w:marLeft w:val="0"/>
      <w:marRight w:val="0"/>
      <w:marTop w:val="0"/>
      <w:marBottom w:val="0"/>
      <w:divBdr>
        <w:top w:val="none" w:sz="0" w:space="0" w:color="auto"/>
        <w:left w:val="none" w:sz="0" w:space="0" w:color="auto"/>
        <w:bottom w:val="none" w:sz="0" w:space="0" w:color="auto"/>
        <w:right w:val="none" w:sz="0" w:space="0" w:color="auto"/>
      </w:divBdr>
    </w:div>
    <w:div w:id="1118792366">
      <w:bodyDiv w:val="1"/>
      <w:marLeft w:val="0"/>
      <w:marRight w:val="0"/>
      <w:marTop w:val="0"/>
      <w:marBottom w:val="0"/>
      <w:divBdr>
        <w:top w:val="none" w:sz="0" w:space="0" w:color="auto"/>
        <w:left w:val="none" w:sz="0" w:space="0" w:color="auto"/>
        <w:bottom w:val="none" w:sz="0" w:space="0" w:color="auto"/>
        <w:right w:val="none" w:sz="0" w:space="0" w:color="auto"/>
      </w:divBdr>
    </w:div>
    <w:div w:id="1160585782">
      <w:bodyDiv w:val="1"/>
      <w:marLeft w:val="0"/>
      <w:marRight w:val="0"/>
      <w:marTop w:val="0"/>
      <w:marBottom w:val="0"/>
      <w:divBdr>
        <w:top w:val="none" w:sz="0" w:space="0" w:color="auto"/>
        <w:left w:val="none" w:sz="0" w:space="0" w:color="auto"/>
        <w:bottom w:val="none" w:sz="0" w:space="0" w:color="auto"/>
        <w:right w:val="none" w:sz="0" w:space="0" w:color="auto"/>
      </w:divBdr>
      <w:divsChild>
        <w:div w:id="1069228854">
          <w:marLeft w:val="0"/>
          <w:marRight w:val="0"/>
          <w:marTop w:val="240"/>
          <w:marBottom w:val="120"/>
          <w:divBdr>
            <w:top w:val="none" w:sz="0" w:space="0" w:color="auto"/>
            <w:left w:val="none" w:sz="0" w:space="0" w:color="auto"/>
            <w:bottom w:val="none" w:sz="0" w:space="0" w:color="auto"/>
            <w:right w:val="none" w:sz="0" w:space="0" w:color="auto"/>
          </w:divBdr>
        </w:div>
        <w:div w:id="1942181485">
          <w:marLeft w:val="0"/>
          <w:marRight w:val="0"/>
          <w:marTop w:val="240"/>
          <w:marBottom w:val="120"/>
          <w:divBdr>
            <w:top w:val="none" w:sz="0" w:space="0" w:color="auto"/>
            <w:left w:val="none" w:sz="0" w:space="0" w:color="auto"/>
            <w:bottom w:val="none" w:sz="0" w:space="0" w:color="auto"/>
            <w:right w:val="none" w:sz="0" w:space="0" w:color="auto"/>
          </w:divBdr>
        </w:div>
      </w:divsChild>
    </w:div>
    <w:div w:id="1165589298">
      <w:bodyDiv w:val="1"/>
      <w:marLeft w:val="0"/>
      <w:marRight w:val="0"/>
      <w:marTop w:val="0"/>
      <w:marBottom w:val="0"/>
      <w:divBdr>
        <w:top w:val="none" w:sz="0" w:space="0" w:color="auto"/>
        <w:left w:val="none" w:sz="0" w:space="0" w:color="auto"/>
        <w:bottom w:val="none" w:sz="0" w:space="0" w:color="auto"/>
        <w:right w:val="none" w:sz="0" w:space="0" w:color="auto"/>
      </w:divBdr>
      <w:divsChild>
        <w:div w:id="1314263238">
          <w:marLeft w:val="0"/>
          <w:marRight w:val="0"/>
          <w:marTop w:val="0"/>
          <w:marBottom w:val="0"/>
          <w:divBdr>
            <w:top w:val="none" w:sz="0" w:space="0" w:color="auto"/>
            <w:left w:val="none" w:sz="0" w:space="0" w:color="auto"/>
            <w:bottom w:val="none" w:sz="0" w:space="0" w:color="auto"/>
            <w:right w:val="none" w:sz="0" w:space="0" w:color="auto"/>
          </w:divBdr>
        </w:div>
        <w:div w:id="13961049">
          <w:marLeft w:val="0"/>
          <w:marRight w:val="0"/>
          <w:marTop w:val="0"/>
          <w:marBottom w:val="0"/>
          <w:divBdr>
            <w:top w:val="none" w:sz="0" w:space="0" w:color="auto"/>
            <w:left w:val="none" w:sz="0" w:space="0" w:color="auto"/>
            <w:bottom w:val="none" w:sz="0" w:space="0" w:color="auto"/>
            <w:right w:val="none" w:sz="0" w:space="0" w:color="auto"/>
          </w:divBdr>
        </w:div>
        <w:div w:id="1822889417">
          <w:marLeft w:val="0"/>
          <w:marRight w:val="0"/>
          <w:marTop w:val="0"/>
          <w:marBottom w:val="0"/>
          <w:divBdr>
            <w:top w:val="none" w:sz="0" w:space="0" w:color="auto"/>
            <w:left w:val="none" w:sz="0" w:space="0" w:color="auto"/>
            <w:bottom w:val="none" w:sz="0" w:space="0" w:color="auto"/>
            <w:right w:val="none" w:sz="0" w:space="0" w:color="auto"/>
          </w:divBdr>
        </w:div>
        <w:div w:id="1588031524">
          <w:marLeft w:val="0"/>
          <w:marRight w:val="0"/>
          <w:marTop w:val="0"/>
          <w:marBottom w:val="0"/>
          <w:divBdr>
            <w:top w:val="none" w:sz="0" w:space="0" w:color="auto"/>
            <w:left w:val="none" w:sz="0" w:space="0" w:color="auto"/>
            <w:bottom w:val="none" w:sz="0" w:space="0" w:color="auto"/>
            <w:right w:val="none" w:sz="0" w:space="0" w:color="auto"/>
          </w:divBdr>
        </w:div>
      </w:divsChild>
    </w:div>
    <w:div w:id="1186603475">
      <w:bodyDiv w:val="1"/>
      <w:marLeft w:val="0"/>
      <w:marRight w:val="0"/>
      <w:marTop w:val="0"/>
      <w:marBottom w:val="0"/>
      <w:divBdr>
        <w:top w:val="none" w:sz="0" w:space="0" w:color="auto"/>
        <w:left w:val="none" w:sz="0" w:space="0" w:color="auto"/>
        <w:bottom w:val="none" w:sz="0" w:space="0" w:color="auto"/>
        <w:right w:val="none" w:sz="0" w:space="0" w:color="auto"/>
      </w:divBdr>
      <w:divsChild>
        <w:div w:id="559441057">
          <w:marLeft w:val="0"/>
          <w:marRight w:val="0"/>
          <w:marTop w:val="0"/>
          <w:marBottom w:val="0"/>
          <w:divBdr>
            <w:top w:val="none" w:sz="0" w:space="0" w:color="auto"/>
            <w:left w:val="none" w:sz="0" w:space="0" w:color="auto"/>
            <w:bottom w:val="none" w:sz="0" w:space="0" w:color="auto"/>
            <w:right w:val="none" w:sz="0" w:space="0" w:color="auto"/>
          </w:divBdr>
          <w:divsChild>
            <w:div w:id="2133135350">
              <w:marLeft w:val="0"/>
              <w:marRight w:val="0"/>
              <w:marTop w:val="0"/>
              <w:marBottom w:val="0"/>
              <w:divBdr>
                <w:top w:val="none" w:sz="0" w:space="0" w:color="auto"/>
                <w:left w:val="none" w:sz="0" w:space="0" w:color="auto"/>
                <w:bottom w:val="none" w:sz="0" w:space="0" w:color="auto"/>
                <w:right w:val="none" w:sz="0" w:space="0" w:color="auto"/>
              </w:divBdr>
              <w:divsChild>
                <w:div w:id="786050049">
                  <w:marLeft w:val="0"/>
                  <w:marRight w:val="0"/>
                  <w:marTop w:val="0"/>
                  <w:marBottom w:val="0"/>
                  <w:divBdr>
                    <w:top w:val="none" w:sz="0" w:space="0" w:color="auto"/>
                    <w:left w:val="none" w:sz="0" w:space="0" w:color="auto"/>
                    <w:bottom w:val="none" w:sz="0" w:space="0" w:color="auto"/>
                    <w:right w:val="none" w:sz="0" w:space="0" w:color="auto"/>
                  </w:divBdr>
                  <w:divsChild>
                    <w:div w:id="471290580">
                      <w:marLeft w:val="0"/>
                      <w:marRight w:val="0"/>
                      <w:marTop w:val="0"/>
                      <w:marBottom w:val="0"/>
                      <w:divBdr>
                        <w:top w:val="none" w:sz="0" w:space="0" w:color="auto"/>
                        <w:left w:val="none" w:sz="0" w:space="0" w:color="auto"/>
                        <w:bottom w:val="none" w:sz="0" w:space="0" w:color="auto"/>
                        <w:right w:val="none" w:sz="0" w:space="0" w:color="auto"/>
                      </w:divBdr>
                    </w:div>
                  </w:divsChild>
                </w:div>
                <w:div w:id="946622483">
                  <w:marLeft w:val="0"/>
                  <w:marRight w:val="0"/>
                  <w:marTop w:val="0"/>
                  <w:marBottom w:val="0"/>
                  <w:divBdr>
                    <w:top w:val="none" w:sz="0" w:space="0" w:color="auto"/>
                    <w:left w:val="none" w:sz="0" w:space="0" w:color="auto"/>
                    <w:bottom w:val="none" w:sz="0" w:space="0" w:color="auto"/>
                    <w:right w:val="none" w:sz="0" w:space="0" w:color="auto"/>
                  </w:divBdr>
                </w:div>
              </w:divsChild>
            </w:div>
            <w:div w:id="1369840315">
              <w:marLeft w:val="0"/>
              <w:marRight w:val="0"/>
              <w:marTop w:val="0"/>
              <w:marBottom w:val="0"/>
              <w:divBdr>
                <w:top w:val="none" w:sz="0" w:space="0" w:color="auto"/>
                <w:left w:val="none" w:sz="0" w:space="0" w:color="auto"/>
                <w:bottom w:val="none" w:sz="0" w:space="0" w:color="auto"/>
                <w:right w:val="none" w:sz="0" w:space="0" w:color="auto"/>
              </w:divBdr>
              <w:divsChild>
                <w:div w:id="200822625">
                  <w:marLeft w:val="0"/>
                  <w:marRight w:val="0"/>
                  <w:marTop w:val="0"/>
                  <w:marBottom w:val="0"/>
                  <w:divBdr>
                    <w:top w:val="none" w:sz="0" w:space="0" w:color="auto"/>
                    <w:left w:val="none" w:sz="0" w:space="0" w:color="auto"/>
                    <w:bottom w:val="none" w:sz="0" w:space="0" w:color="auto"/>
                    <w:right w:val="none" w:sz="0" w:space="0" w:color="auto"/>
                  </w:divBdr>
                  <w:divsChild>
                    <w:div w:id="1411275412">
                      <w:marLeft w:val="0"/>
                      <w:marRight w:val="0"/>
                      <w:marTop w:val="0"/>
                      <w:marBottom w:val="0"/>
                      <w:divBdr>
                        <w:top w:val="none" w:sz="0" w:space="0" w:color="auto"/>
                        <w:left w:val="none" w:sz="0" w:space="0" w:color="auto"/>
                        <w:bottom w:val="none" w:sz="0" w:space="0" w:color="auto"/>
                        <w:right w:val="none" w:sz="0" w:space="0" w:color="auto"/>
                      </w:divBdr>
                    </w:div>
                  </w:divsChild>
                </w:div>
                <w:div w:id="1472166906">
                  <w:marLeft w:val="0"/>
                  <w:marRight w:val="0"/>
                  <w:marTop w:val="0"/>
                  <w:marBottom w:val="0"/>
                  <w:divBdr>
                    <w:top w:val="none" w:sz="0" w:space="0" w:color="auto"/>
                    <w:left w:val="none" w:sz="0" w:space="0" w:color="auto"/>
                    <w:bottom w:val="none" w:sz="0" w:space="0" w:color="auto"/>
                    <w:right w:val="none" w:sz="0" w:space="0" w:color="auto"/>
                  </w:divBdr>
                </w:div>
              </w:divsChild>
            </w:div>
            <w:div w:id="599341287">
              <w:marLeft w:val="0"/>
              <w:marRight w:val="0"/>
              <w:marTop w:val="0"/>
              <w:marBottom w:val="0"/>
              <w:divBdr>
                <w:top w:val="none" w:sz="0" w:space="0" w:color="auto"/>
                <w:left w:val="none" w:sz="0" w:space="0" w:color="auto"/>
                <w:bottom w:val="none" w:sz="0" w:space="0" w:color="auto"/>
                <w:right w:val="none" w:sz="0" w:space="0" w:color="auto"/>
              </w:divBdr>
              <w:divsChild>
                <w:div w:id="343214305">
                  <w:marLeft w:val="0"/>
                  <w:marRight w:val="0"/>
                  <w:marTop w:val="0"/>
                  <w:marBottom w:val="0"/>
                  <w:divBdr>
                    <w:top w:val="none" w:sz="0" w:space="0" w:color="auto"/>
                    <w:left w:val="none" w:sz="0" w:space="0" w:color="auto"/>
                    <w:bottom w:val="none" w:sz="0" w:space="0" w:color="auto"/>
                    <w:right w:val="none" w:sz="0" w:space="0" w:color="auto"/>
                  </w:divBdr>
                  <w:divsChild>
                    <w:div w:id="2109932822">
                      <w:marLeft w:val="0"/>
                      <w:marRight w:val="0"/>
                      <w:marTop w:val="0"/>
                      <w:marBottom w:val="0"/>
                      <w:divBdr>
                        <w:top w:val="none" w:sz="0" w:space="0" w:color="auto"/>
                        <w:left w:val="none" w:sz="0" w:space="0" w:color="auto"/>
                        <w:bottom w:val="none" w:sz="0" w:space="0" w:color="auto"/>
                        <w:right w:val="none" w:sz="0" w:space="0" w:color="auto"/>
                      </w:divBdr>
                    </w:div>
                  </w:divsChild>
                </w:div>
                <w:div w:id="94183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44225">
          <w:marLeft w:val="0"/>
          <w:marRight w:val="0"/>
          <w:marTop w:val="0"/>
          <w:marBottom w:val="0"/>
          <w:divBdr>
            <w:top w:val="none" w:sz="0" w:space="0" w:color="auto"/>
            <w:left w:val="none" w:sz="0" w:space="0" w:color="auto"/>
            <w:bottom w:val="none" w:sz="0" w:space="0" w:color="auto"/>
            <w:right w:val="none" w:sz="0" w:space="0" w:color="auto"/>
          </w:divBdr>
        </w:div>
      </w:divsChild>
    </w:div>
    <w:div w:id="1207447764">
      <w:bodyDiv w:val="1"/>
      <w:marLeft w:val="0"/>
      <w:marRight w:val="0"/>
      <w:marTop w:val="0"/>
      <w:marBottom w:val="0"/>
      <w:divBdr>
        <w:top w:val="none" w:sz="0" w:space="0" w:color="auto"/>
        <w:left w:val="none" w:sz="0" w:space="0" w:color="auto"/>
        <w:bottom w:val="none" w:sz="0" w:space="0" w:color="auto"/>
        <w:right w:val="none" w:sz="0" w:space="0" w:color="auto"/>
      </w:divBdr>
    </w:div>
    <w:div w:id="1211654977">
      <w:bodyDiv w:val="1"/>
      <w:marLeft w:val="0"/>
      <w:marRight w:val="0"/>
      <w:marTop w:val="0"/>
      <w:marBottom w:val="0"/>
      <w:divBdr>
        <w:top w:val="none" w:sz="0" w:space="0" w:color="auto"/>
        <w:left w:val="none" w:sz="0" w:space="0" w:color="auto"/>
        <w:bottom w:val="none" w:sz="0" w:space="0" w:color="auto"/>
        <w:right w:val="none" w:sz="0" w:space="0" w:color="auto"/>
      </w:divBdr>
    </w:div>
    <w:div w:id="1260675614">
      <w:bodyDiv w:val="1"/>
      <w:marLeft w:val="0"/>
      <w:marRight w:val="0"/>
      <w:marTop w:val="0"/>
      <w:marBottom w:val="0"/>
      <w:divBdr>
        <w:top w:val="none" w:sz="0" w:space="0" w:color="auto"/>
        <w:left w:val="none" w:sz="0" w:space="0" w:color="auto"/>
        <w:bottom w:val="none" w:sz="0" w:space="0" w:color="auto"/>
        <w:right w:val="none" w:sz="0" w:space="0" w:color="auto"/>
      </w:divBdr>
      <w:divsChild>
        <w:div w:id="233777560">
          <w:marLeft w:val="0"/>
          <w:marRight w:val="0"/>
          <w:marTop w:val="240"/>
          <w:marBottom w:val="120"/>
          <w:divBdr>
            <w:top w:val="none" w:sz="0" w:space="0" w:color="auto"/>
            <w:left w:val="none" w:sz="0" w:space="0" w:color="auto"/>
            <w:bottom w:val="none" w:sz="0" w:space="0" w:color="auto"/>
            <w:right w:val="none" w:sz="0" w:space="0" w:color="auto"/>
          </w:divBdr>
        </w:div>
        <w:div w:id="1085149454">
          <w:marLeft w:val="0"/>
          <w:marRight w:val="0"/>
          <w:marTop w:val="240"/>
          <w:marBottom w:val="120"/>
          <w:divBdr>
            <w:top w:val="none" w:sz="0" w:space="0" w:color="auto"/>
            <w:left w:val="none" w:sz="0" w:space="0" w:color="auto"/>
            <w:bottom w:val="none" w:sz="0" w:space="0" w:color="auto"/>
            <w:right w:val="none" w:sz="0" w:space="0" w:color="auto"/>
          </w:divBdr>
        </w:div>
      </w:divsChild>
    </w:div>
    <w:div w:id="1282498227">
      <w:bodyDiv w:val="1"/>
      <w:marLeft w:val="0"/>
      <w:marRight w:val="0"/>
      <w:marTop w:val="0"/>
      <w:marBottom w:val="0"/>
      <w:divBdr>
        <w:top w:val="none" w:sz="0" w:space="0" w:color="auto"/>
        <w:left w:val="none" w:sz="0" w:space="0" w:color="auto"/>
        <w:bottom w:val="none" w:sz="0" w:space="0" w:color="auto"/>
        <w:right w:val="none" w:sz="0" w:space="0" w:color="auto"/>
      </w:divBdr>
      <w:divsChild>
        <w:div w:id="387921504">
          <w:marLeft w:val="0"/>
          <w:marRight w:val="0"/>
          <w:marTop w:val="240"/>
          <w:marBottom w:val="120"/>
          <w:divBdr>
            <w:top w:val="none" w:sz="0" w:space="0" w:color="auto"/>
            <w:left w:val="none" w:sz="0" w:space="0" w:color="auto"/>
            <w:bottom w:val="none" w:sz="0" w:space="0" w:color="auto"/>
            <w:right w:val="none" w:sz="0" w:space="0" w:color="auto"/>
          </w:divBdr>
        </w:div>
        <w:div w:id="671419892">
          <w:marLeft w:val="0"/>
          <w:marRight w:val="0"/>
          <w:marTop w:val="240"/>
          <w:marBottom w:val="120"/>
          <w:divBdr>
            <w:top w:val="none" w:sz="0" w:space="0" w:color="auto"/>
            <w:left w:val="none" w:sz="0" w:space="0" w:color="auto"/>
            <w:bottom w:val="none" w:sz="0" w:space="0" w:color="auto"/>
            <w:right w:val="none" w:sz="0" w:space="0" w:color="auto"/>
          </w:divBdr>
        </w:div>
      </w:divsChild>
    </w:div>
    <w:div w:id="1290356305">
      <w:bodyDiv w:val="1"/>
      <w:marLeft w:val="0"/>
      <w:marRight w:val="0"/>
      <w:marTop w:val="0"/>
      <w:marBottom w:val="0"/>
      <w:divBdr>
        <w:top w:val="none" w:sz="0" w:space="0" w:color="auto"/>
        <w:left w:val="none" w:sz="0" w:space="0" w:color="auto"/>
        <w:bottom w:val="none" w:sz="0" w:space="0" w:color="auto"/>
        <w:right w:val="none" w:sz="0" w:space="0" w:color="auto"/>
      </w:divBdr>
      <w:divsChild>
        <w:div w:id="754978822">
          <w:marLeft w:val="0"/>
          <w:marRight w:val="0"/>
          <w:marTop w:val="0"/>
          <w:marBottom w:val="0"/>
          <w:divBdr>
            <w:top w:val="none" w:sz="0" w:space="0" w:color="auto"/>
            <w:left w:val="none" w:sz="0" w:space="0" w:color="auto"/>
            <w:bottom w:val="none" w:sz="0" w:space="0" w:color="auto"/>
            <w:right w:val="none" w:sz="0" w:space="0" w:color="auto"/>
          </w:divBdr>
          <w:divsChild>
            <w:div w:id="1383091597">
              <w:marLeft w:val="0"/>
              <w:marRight w:val="0"/>
              <w:marTop w:val="0"/>
              <w:marBottom w:val="0"/>
              <w:divBdr>
                <w:top w:val="none" w:sz="0" w:space="0" w:color="auto"/>
                <w:left w:val="none" w:sz="0" w:space="0" w:color="auto"/>
                <w:bottom w:val="none" w:sz="0" w:space="0" w:color="auto"/>
                <w:right w:val="none" w:sz="0" w:space="0" w:color="auto"/>
              </w:divBdr>
              <w:divsChild>
                <w:div w:id="1765802291">
                  <w:marLeft w:val="0"/>
                  <w:marRight w:val="0"/>
                  <w:marTop w:val="0"/>
                  <w:marBottom w:val="0"/>
                  <w:divBdr>
                    <w:top w:val="none" w:sz="0" w:space="0" w:color="auto"/>
                    <w:left w:val="none" w:sz="0" w:space="0" w:color="auto"/>
                    <w:bottom w:val="none" w:sz="0" w:space="0" w:color="auto"/>
                    <w:right w:val="none" w:sz="0" w:space="0" w:color="auto"/>
                  </w:divBdr>
                </w:div>
                <w:div w:id="1640529792">
                  <w:marLeft w:val="0"/>
                  <w:marRight w:val="0"/>
                  <w:marTop w:val="0"/>
                  <w:marBottom w:val="0"/>
                  <w:divBdr>
                    <w:top w:val="none" w:sz="0" w:space="0" w:color="auto"/>
                    <w:left w:val="none" w:sz="0" w:space="0" w:color="auto"/>
                    <w:bottom w:val="none" w:sz="0" w:space="0" w:color="auto"/>
                    <w:right w:val="none" w:sz="0" w:space="0" w:color="auto"/>
                  </w:divBdr>
                  <w:divsChild>
                    <w:div w:id="407121946">
                      <w:marLeft w:val="0"/>
                      <w:marRight w:val="0"/>
                      <w:marTop w:val="0"/>
                      <w:marBottom w:val="0"/>
                      <w:divBdr>
                        <w:top w:val="none" w:sz="0" w:space="0" w:color="auto"/>
                        <w:left w:val="none" w:sz="0" w:space="0" w:color="auto"/>
                        <w:bottom w:val="none" w:sz="0" w:space="0" w:color="auto"/>
                        <w:right w:val="none" w:sz="0" w:space="0" w:color="auto"/>
                      </w:divBdr>
                    </w:div>
                  </w:divsChild>
                </w:div>
                <w:div w:id="2493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25295">
      <w:bodyDiv w:val="1"/>
      <w:marLeft w:val="0"/>
      <w:marRight w:val="0"/>
      <w:marTop w:val="0"/>
      <w:marBottom w:val="0"/>
      <w:divBdr>
        <w:top w:val="none" w:sz="0" w:space="0" w:color="auto"/>
        <w:left w:val="none" w:sz="0" w:space="0" w:color="auto"/>
        <w:bottom w:val="none" w:sz="0" w:space="0" w:color="auto"/>
        <w:right w:val="none" w:sz="0" w:space="0" w:color="auto"/>
      </w:divBdr>
    </w:div>
    <w:div w:id="1318798122">
      <w:bodyDiv w:val="1"/>
      <w:marLeft w:val="0"/>
      <w:marRight w:val="0"/>
      <w:marTop w:val="0"/>
      <w:marBottom w:val="0"/>
      <w:divBdr>
        <w:top w:val="none" w:sz="0" w:space="0" w:color="auto"/>
        <w:left w:val="none" w:sz="0" w:space="0" w:color="auto"/>
        <w:bottom w:val="none" w:sz="0" w:space="0" w:color="auto"/>
        <w:right w:val="none" w:sz="0" w:space="0" w:color="auto"/>
      </w:divBdr>
      <w:divsChild>
        <w:div w:id="517622249">
          <w:marLeft w:val="0"/>
          <w:marRight w:val="0"/>
          <w:marTop w:val="0"/>
          <w:marBottom w:val="0"/>
          <w:divBdr>
            <w:top w:val="none" w:sz="0" w:space="0" w:color="auto"/>
            <w:left w:val="none" w:sz="0" w:space="0" w:color="auto"/>
            <w:bottom w:val="none" w:sz="0" w:space="0" w:color="auto"/>
            <w:right w:val="none" w:sz="0" w:space="0" w:color="auto"/>
          </w:divBdr>
        </w:div>
        <w:div w:id="36008032">
          <w:marLeft w:val="0"/>
          <w:marRight w:val="0"/>
          <w:marTop w:val="0"/>
          <w:marBottom w:val="0"/>
          <w:divBdr>
            <w:top w:val="none" w:sz="0" w:space="0" w:color="auto"/>
            <w:left w:val="none" w:sz="0" w:space="0" w:color="auto"/>
            <w:bottom w:val="none" w:sz="0" w:space="0" w:color="auto"/>
            <w:right w:val="none" w:sz="0" w:space="0" w:color="auto"/>
          </w:divBdr>
        </w:div>
      </w:divsChild>
    </w:div>
    <w:div w:id="1336687564">
      <w:bodyDiv w:val="1"/>
      <w:marLeft w:val="0"/>
      <w:marRight w:val="0"/>
      <w:marTop w:val="0"/>
      <w:marBottom w:val="0"/>
      <w:divBdr>
        <w:top w:val="none" w:sz="0" w:space="0" w:color="auto"/>
        <w:left w:val="none" w:sz="0" w:space="0" w:color="auto"/>
        <w:bottom w:val="none" w:sz="0" w:space="0" w:color="auto"/>
        <w:right w:val="none" w:sz="0" w:space="0" w:color="auto"/>
      </w:divBdr>
      <w:divsChild>
        <w:div w:id="1110009468">
          <w:marLeft w:val="0"/>
          <w:marRight w:val="0"/>
          <w:marTop w:val="0"/>
          <w:marBottom w:val="0"/>
          <w:divBdr>
            <w:top w:val="none" w:sz="0" w:space="0" w:color="auto"/>
            <w:left w:val="none" w:sz="0" w:space="0" w:color="auto"/>
            <w:bottom w:val="none" w:sz="0" w:space="0" w:color="auto"/>
            <w:right w:val="none" w:sz="0" w:space="0" w:color="auto"/>
          </w:divBdr>
        </w:div>
      </w:divsChild>
    </w:div>
    <w:div w:id="1340276780">
      <w:bodyDiv w:val="1"/>
      <w:marLeft w:val="0"/>
      <w:marRight w:val="0"/>
      <w:marTop w:val="0"/>
      <w:marBottom w:val="0"/>
      <w:divBdr>
        <w:top w:val="none" w:sz="0" w:space="0" w:color="auto"/>
        <w:left w:val="none" w:sz="0" w:space="0" w:color="auto"/>
        <w:bottom w:val="none" w:sz="0" w:space="0" w:color="auto"/>
        <w:right w:val="none" w:sz="0" w:space="0" w:color="auto"/>
      </w:divBdr>
      <w:divsChild>
        <w:div w:id="154035592">
          <w:marLeft w:val="0"/>
          <w:marRight w:val="0"/>
          <w:marTop w:val="240"/>
          <w:marBottom w:val="120"/>
          <w:divBdr>
            <w:top w:val="none" w:sz="0" w:space="0" w:color="auto"/>
            <w:left w:val="none" w:sz="0" w:space="0" w:color="auto"/>
            <w:bottom w:val="none" w:sz="0" w:space="0" w:color="auto"/>
            <w:right w:val="none" w:sz="0" w:space="0" w:color="auto"/>
          </w:divBdr>
        </w:div>
        <w:div w:id="1139611351">
          <w:marLeft w:val="0"/>
          <w:marRight w:val="0"/>
          <w:marTop w:val="240"/>
          <w:marBottom w:val="120"/>
          <w:divBdr>
            <w:top w:val="none" w:sz="0" w:space="0" w:color="auto"/>
            <w:left w:val="none" w:sz="0" w:space="0" w:color="auto"/>
            <w:bottom w:val="none" w:sz="0" w:space="0" w:color="auto"/>
            <w:right w:val="none" w:sz="0" w:space="0" w:color="auto"/>
          </w:divBdr>
        </w:div>
      </w:divsChild>
    </w:div>
    <w:div w:id="1342658971">
      <w:bodyDiv w:val="1"/>
      <w:marLeft w:val="0"/>
      <w:marRight w:val="0"/>
      <w:marTop w:val="0"/>
      <w:marBottom w:val="0"/>
      <w:divBdr>
        <w:top w:val="none" w:sz="0" w:space="0" w:color="auto"/>
        <w:left w:val="none" w:sz="0" w:space="0" w:color="auto"/>
        <w:bottom w:val="none" w:sz="0" w:space="0" w:color="auto"/>
        <w:right w:val="none" w:sz="0" w:space="0" w:color="auto"/>
      </w:divBdr>
      <w:divsChild>
        <w:div w:id="174154874">
          <w:marLeft w:val="0"/>
          <w:marRight w:val="0"/>
          <w:marTop w:val="0"/>
          <w:marBottom w:val="0"/>
          <w:divBdr>
            <w:top w:val="none" w:sz="0" w:space="0" w:color="auto"/>
            <w:left w:val="none" w:sz="0" w:space="0" w:color="auto"/>
            <w:bottom w:val="none" w:sz="0" w:space="0" w:color="auto"/>
            <w:right w:val="none" w:sz="0" w:space="0" w:color="auto"/>
          </w:divBdr>
          <w:divsChild>
            <w:div w:id="2072995000">
              <w:marLeft w:val="0"/>
              <w:marRight w:val="0"/>
              <w:marTop w:val="0"/>
              <w:marBottom w:val="0"/>
              <w:divBdr>
                <w:top w:val="none" w:sz="0" w:space="0" w:color="auto"/>
                <w:left w:val="none" w:sz="0" w:space="0" w:color="auto"/>
                <w:bottom w:val="none" w:sz="0" w:space="0" w:color="auto"/>
                <w:right w:val="none" w:sz="0" w:space="0" w:color="auto"/>
              </w:divBdr>
              <w:divsChild>
                <w:div w:id="1229878593">
                  <w:marLeft w:val="0"/>
                  <w:marRight w:val="0"/>
                  <w:marTop w:val="0"/>
                  <w:marBottom w:val="0"/>
                  <w:divBdr>
                    <w:top w:val="none" w:sz="0" w:space="0" w:color="auto"/>
                    <w:left w:val="none" w:sz="0" w:space="0" w:color="auto"/>
                    <w:bottom w:val="none" w:sz="0" w:space="0" w:color="auto"/>
                    <w:right w:val="none" w:sz="0" w:space="0" w:color="auto"/>
                  </w:divBdr>
                </w:div>
                <w:div w:id="1408500494">
                  <w:marLeft w:val="0"/>
                  <w:marRight w:val="0"/>
                  <w:marTop w:val="0"/>
                  <w:marBottom w:val="0"/>
                  <w:divBdr>
                    <w:top w:val="none" w:sz="0" w:space="0" w:color="auto"/>
                    <w:left w:val="none" w:sz="0" w:space="0" w:color="auto"/>
                    <w:bottom w:val="none" w:sz="0" w:space="0" w:color="auto"/>
                    <w:right w:val="none" w:sz="0" w:space="0" w:color="auto"/>
                  </w:divBdr>
                  <w:divsChild>
                    <w:div w:id="1826121631">
                      <w:marLeft w:val="0"/>
                      <w:marRight w:val="0"/>
                      <w:marTop w:val="0"/>
                      <w:marBottom w:val="0"/>
                      <w:divBdr>
                        <w:top w:val="none" w:sz="0" w:space="0" w:color="auto"/>
                        <w:left w:val="none" w:sz="0" w:space="0" w:color="auto"/>
                        <w:bottom w:val="none" w:sz="0" w:space="0" w:color="auto"/>
                        <w:right w:val="none" w:sz="0" w:space="0" w:color="auto"/>
                      </w:divBdr>
                    </w:div>
                  </w:divsChild>
                </w:div>
                <w:div w:id="121543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97643">
      <w:bodyDiv w:val="1"/>
      <w:marLeft w:val="0"/>
      <w:marRight w:val="0"/>
      <w:marTop w:val="0"/>
      <w:marBottom w:val="0"/>
      <w:divBdr>
        <w:top w:val="none" w:sz="0" w:space="0" w:color="auto"/>
        <w:left w:val="none" w:sz="0" w:space="0" w:color="auto"/>
        <w:bottom w:val="none" w:sz="0" w:space="0" w:color="auto"/>
        <w:right w:val="none" w:sz="0" w:space="0" w:color="auto"/>
      </w:divBdr>
    </w:div>
    <w:div w:id="1355225308">
      <w:bodyDiv w:val="1"/>
      <w:marLeft w:val="0"/>
      <w:marRight w:val="0"/>
      <w:marTop w:val="0"/>
      <w:marBottom w:val="0"/>
      <w:divBdr>
        <w:top w:val="none" w:sz="0" w:space="0" w:color="auto"/>
        <w:left w:val="none" w:sz="0" w:space="0" w:color="auto"/>
        <w:bottom w:val="none" w:sz="0" w:space="0" w:color="auto"/>
        <w:right w:val="none" w:sz="0" w:space="0" w:color="auto"/>
      </w:divBdr>
    </w:div>
    <w:div w:id="1362978917">
      <w:bodyDiv w:val="1"/>
      <w:marLeft w:val="0"/>
      <w:marRight w:val="0"/>
      <w:marTop w:val="0"/>
      <w:marBottom w:val="0"/>
      <w:divBdr>
        <w:top w:val="none" w:sz="0" w:space="0" w:color="auto"/>
        <w:left w:val="none" w:sz="0" w:space="0" w:color="auto"/>
        <w:bottom w:val="none" w:sz="0" w:space="0" w:color="auto"/>
        <w:right w:val="none" w:sz="0" w:space="0" w:color="auto"/>
      </w:divBdr>
    </w:div>
    <w:div w:id="1391423671">
      <w:bodyDiv w:val="1"/>
      <w:marLeft w:val="0"/>
      <w:marRight w:val="0"/>
      <w:marTop w:val="0"/>
      <w:marBottom w:val="0"/>
      <w:divBdr>
        <w:top w:val="none" w:sz="0" w:space="0" w:color="auto"/>
        <w:left w:val="none" w:sz="0" w:space="0" w:color="auto"/>
        <w:bottom w:val="none" w:sz="0" w:space="0" w:color="auto"/>
        <w:right w:val="none" w:sz="0" w:space="0" w:color="auto"/>
      </w:divBdr>
      <w:divsChild>
        <w:div w:id="1848134098">
          <w:marLeft w:val="0"/>
          <w:marRight w:val="0"/>
          <w:marTop w:val="240"/>
          <w:marBottom w:val="120"/>
          <w:divBdr>
            <w:top w:val="none" w:sz="0" w:space="0" w:color="auto"/>
            <w:left w:val="none" w:sz="0" w:space="0" w:color="auto"/>
            <w:bottom w:val="none" w:sz="0" w:space="0" w:color="auto"/>
            <w:right w:val="none" w:sz="0" w:space="0" w:color="auto"/>
          </w:divBdr>
        </w:div>
        <w:div w:id="543759868">
          <w:marLeft w:val="0"/>
          <w:marRight w:val="0"/>
          <w:marTop w:val="240"/>
          <w:marBottom w:val="120"/>
          <w:divBdr>
            <w:top w:val="none" w:sz="0" w:space="0" w:color="auto"/>
            <w:left w:val="none" w:sz="0" w:space="0" w:color="auto"/>
            <w:bottom w:val="none" w:sz="0" w:space="0" w:color="auto"/>
            <w:right w:val="none" w:sz="0" w:space="0" w:color="auto"/>
          </w:divBdr>
        </w:div>
      </w:divsChild>
    </w:div>
    <w:div w:id="1400594635">
      <w:bodyDiv w:val="1"/>
      <w:marLeft w:val="0"/>
      <w:marRight w:val="0"/>
      <w:marTop w:val="0"/>
      <w:marBottom w:val="0"/>
      <w:divBdr>
        <w:top w:val="none" w:sz="0" w:space="0" w:color="auto"/>
        <w:left w:val="none" w:sz="0" w:space="0" w:color="auto"/>
        <w:bottom w:val="none" w:sz="0" w:space="0" w:color="auto"/>
        <w:right w:val="none" w:sz="0" w:space="0" w:color="auto"/>
      </w:divBdr>
      <w:divsChild>
        <w:div w:id="1332561265">
          <w:marLeft w:val="0"/>
          <w:marRight w:val="0"/>
          <w:marTop w:val="240"/>
          <w:marBottom w:val="120"/>
          <w:divBdr>
            <w:top w:val="none" w:sz="0" w:space="0" w:color="auto"/>
            <w:left w:val="none" w:sz="0" w:space="0" w:color="auto"/>
            <w:bottom w:val="none" w:sz="0" w:space="0" w:color="auto"/>
            <w:right w:val="none" w:sz="0" w:space="0" w:color="auto"/>
          </w:divBdr>
        </w:div>
        <w:div w:id="443158161">
          <w:marLeft w:val="0"/>
          <w:marRight w:val="0"/>
          <w:marTop w:val="240"/>
          <w:marBottom w:val="120"/>
          <w:divBdr>
            <w:top w:val="none" w:sz="0" w:space="0" w:color="auto"/>
            <w:left w:val="none" w:sz="0" w:space="0" w:color="auto"/>
            <w:bottom w:val="none" w:sz="0" w:space="0" w:color="auto"/>
            <w:right w:val="none" w:sz="0" w:space="0" w:color="auto"/>
          </w:divBdr>
        </w:div>
      </w:divsChild>
    </w:div>
    <w:div w:id="1403600361">
      <w:bodyDiv w:val="1"/>
      <w:marLeft w:val="0"/>
      <w:marRight w:val="0"/>
      <w:marTop w:val="0"/>
      <w:marBottom w:val="0"/>
      <w:divBdr>
        <w:top w:val="none" w:sz="0" w:space="0" w:color="auto"/>
        <w:left w:val="none" w:sz="0" w:space="0" w:color="auto"/>
        <w:bottom w:val="none" w:sz="0" w:space="0" w:color="auto"/>
        <w:right w:val="none" w:sz="0" w:space="0" w:color="auto"/>
      </w:divBdr>
      <w:divsChild>
        <w:div w:id="676495073">
          <w:marLeft w:val="0"/>
          <w:marRight w:val="0"/>
          <w:marTop w:val="0"/>
          <w:marBottom w:val="0"/>
          <w:divBdr>
            <w:top w:val="none" w:sz="0" w:space="0" w:color="auto"/>
            <w:left w:val="none" w:sz="0" w:space="0" w:color="auto"/>
            <w:bottom w:val="none" w:sz="0" w:space="0" w:color="auto"/>
            <w:right w:val="none" w:sz="0" w:space="0" w:color="auto"/>
          </w:divBdr>
          <w:divsChild>
            <w:div w:id="434599907">
              <w:marLeft w:val="0"/>
              <w:marRight w:val="0"/>
              <w:marTop w:val="0"/>
              <w:marBottom w:val="0"/>
              <w:divBdr>
                <w:top w:val="none" w:sz="0" w:space="0" w:color="auto"/>
                <w:left w:val="none" w:sz="0" w:space="0" w:color="auto"/>
                <w:bottom w:val="none" w:sz="0" w:space="0" w:color="auto"/>
                <w:right w:val="none" w:sz="0" w:space="0" w:color="auto"/>
              </w:divBdr>
              <w:divsChild>
                <w:div w:id="1667323684">
                  <w:marLeft w:val="0"/>
                  <w:marRight w:val="0"/>
                  <w:marTop w:val="0"/>
                  <w:marBottom w:val="0"/>
                  <w:divBdr>
                    <w:top w:val="none" w:sz="0" w:space="0" w:color="auto"/>
                    <w:left w:val="none" w:sz="0" w:space="0" w:color="auto"/>
                    <w:bottom w:val="none" w:sz="0" w:space="0" w:color="auto"/>
                    <w:right w:val="none" w:sz="0" w:space="0" w:color="auto"/>
                  </w:divBdr>
                  <w:divsChild>
                    <w:div w:id="1088305031">
                      <w:marLeft w:val="0"/>
                      <w:marRight w:val="0"/>
                      <w:marTop w:val="0"/>
                      <w:marBottom w:val="0"/>
                      <w:divBdr>
                        <w:top w:val="none" w:sz="0" w:space="0" w:color="auto"/>
                        <w:left w:val="none" w:sz="0" w:space="0" w:color="auto"/>
                        <w:bottom w:val="none" w:sz="0" w:space="0" w:color="auto"/>
                        <w:right w:val="none" w:sz="0" w:space="0" w:color="auto"/>
                      </w:divBdr>
                      <w:divsChild>
                        <w:div w:id="153491529">
                          <w:marLeft w:val="0"/>
                          <w:marRight w:val="0"/>
                          <w:marTop w:val="0"/>
                          <w:marBottom w:val="0"/>
                          <w:divBdr>
                            <w:top w:val="none" w:sz="0" w:space="0" w:color="auto"/>
                            <w:left w:val="none" w:sz="0" w:space="0" w:color="auto"/>
                            <w:bottom w:val="none" w:sz="0" w:space="0" w:color="auto"/>
                            <w:right w:val="none" w:sz="0" w:space="0" w:color="auto"/>
                          </w:divBdr>
                        </w:div>
                      </w:divsChild>
                    </w:div>
                    <w:div w:id="13151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0056">
              <w:marLeft w:val="0"/>
              <w:marRight w:val="0"/>
              <w:marTop w:val="0"/>
              <w:marBottom w:val="0"/>
              <w:divBdr>
                <w:top w:val="none" w:sz="0" w:space="0" w:color="auto"/>
                <w:left w:val="none" w:sz="0" w:space="0" w:color="auto"/>
                <w:bottom w:val="none" w:sz="0" w:space="0" w:color="auto"/>
                <w:right w:val="none" w:sz="0" w:space="0" w:color="auto"/>
              </w:divBdr>
            </w:div>
          </w:divsChild>
        </w:div>
        <w:div w:id="1328284104">
          <w:marLeft w:val="0"/>
          <w:marRight w:val="0"/>
          <w:marTop w:val="0"/>
          <w:marBottom w:val="0"/>
          <w:divBdr>
            <w:top w:val="none" w:sz="0" w:space="0" w:color="auto"/>
            <w:left w:val="none" w:sz="0" w:space="0" w:color="auto"/>
            <w:bottom w:val="none" w:sz="0" w:space="0" w:color="auto"/>
            <w:right w:val="none" w:sz="0" w:space="0" w:color="auto"/>
          </w:divBdr>
          <w:divsChild>
            <w:div w:id="510534103">
              <w:marLeft w:val="0"/>
              <w:marRight w:val="0"/>
              <w:marTop w:val="0"/>
              <w:marBottom w:val="0"/>
              <w:divBdr>
                <w:top w:val="none" w:sz="0" w:space="0" w:color="auto"/>
                <w:left w:val="none" w:sz="0" w:space="0" w:color="auto"/>
                <w:bottom w:val="none" w:sz="0" w:space="0" w:color="auto"/>
                <w:right w:val="none" w:sz="0" w:space="0" w:color="auto"/>
              </w:divBdr>
              <w:divsChild>
                <w:div w:id="8371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49259">
          <w:marLeft w:val="0"/>
          <w:marRight w:val="0"/>
          <w:marTop w:val="0"/>
          <w:marBottom w:val="0"/>
          <w:divBdr>
            <w:top w:val="none" w:sz="0" w:space="0" w:color="auto"/>
            <w:left w:val="none" w:sz="0" w:space="0" w:color="auto"/>
            <w:bottom w:val="none" w:sz="0" w:space="0" w:color="auto"/>
            <w:right w:val="none" w:sz="0" w:space="0" w:color="auto"/>
          </w:divBdr>
          <w:divsChild>
            <w:div w:id="16916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3865">
      <w:bodyDiv w:val="1"/>
      <w:marLeft w:val="0"/>
      <w:marRight w:val="0"/>
      <w:marTop w:val="0"/>
      <w:marBottom w:val="0"/>
      <w:divBdr>
        <w:top w:val="none" w:sz="0" w:space="0" w:color="auto"/>
        <w:left w:val="none" w:sz="0" w:space="0" w:color="auto"/>
        <w:bottom w:val="none" w:sz="0" w:space="0" w:color="auto"/>
        <w:right w:val="none" w:sz="0" w:space="0" w:color="auto"/>
      </w:divBdr>
      <w:divsChild>
        <w:div w:id="55934315">
          <w:marLeft w:val="0"/>
          <w:marRight w:val="0"/>
          <w:marTop w:val="0"/>
          <w:marBottom w:val="0"/>
          <w:divBdr>
            <w:top w:val="none" w:sz="0" w:space="0" w:color="auto"/>
            <w:left w:val="none" w:sz="0" w:space="0" w:color="auto"/>
            <w:bottom w:val="none" w:sz="0" w:space="0" w:color="auto"/>
            <w:right w:val="none" w:sz="0" w:space="0" w:color="auto"/>
          </w:divBdr>
        </w:div>
        <w:div w:id="353921732">
          <w:marLeft w:val="0"/>
          <w:marRight w:val="0"/>
          <w:marTop w:val="240"/>
          <w:marBottom w:val="120"/>
          <w:divBdr>
            <w:top w:val="none" w:sz="0" w:space="0" w:color="auto"/>
            <w:left w:val="none" w:sz="0" w:space="0" w:color="auto"/>
            <w:bottom w:val="none" w:sz="0" w:space="0" w:color="auto"/>
            <w:right w:val="none" w:sz="0" w:space="0" w:color="auto"/>
          </w:divBdr>
        </w:div>
        <w:div w:id="267782174">
          <w:marLeft w:val="0"/>
          <w:marRight w:val="0"/>
          <w:marTop w:val="240"/>
          <w:marBottom w:val="120"/>
          <w:divBdr>
            <w:top w:val="none" w:sz="0" w:space="0" w:color="auto"/>
            <w:left w:val="none" w:sz="0" w:space="0" w:color="auto"/>
            <w:bottom w:val="none" w:sz="0" w:space="0" w:color="auto"/>
            <w:right w:val="none" w:sz="0" w:space="0" w:color="auto"/>
          </w:divBdr>
          <w:divsChild>
            <w:div w:id="380596993">
              <w:marLeft w:val="0"/>
              <w:marRight w:val="0"/>
              <w:marTop w:val="0"/>
              <w:marBottom w:val="0"/>
              <w:divBdr>
                <w:top w:val="none" w:sz="0" w:space="0" w:color="auto"/>
                <w:left w:val="none" w:sz="0" w:space="0" w:color="auto"/>
                <w:bottom w:val="none" w:sz="0" w:space="0" w:color="auto"/>
                <w:right w:val="none" w:sz="0" w:space="0" w:color="auto"/>
              </w:divBdr>
            </w:div>
          </w:divsChild>
        </w:div>
        <w:div w:id="1905796945">
          <w:marLeft w:val="0"/>
          <w:marRight w:val="0"/>
          <w:marTop w:val="240"/>
          <w:marBottom w:val="120"/>
          <w:divBdr>
            <w:top w:val="none" w:sz="0" w:space="0" w:color="auto"/>
            <w:left w:val="none" w:sz="0" w:space="0" w:color="auto"/>
            <w:bottom w:val="none" w:sz="0" w:space="0" w:color="auto"/>
            <w:right w:val="none" w:sz="0" w:space="0" w:color="auto"/>
          </w:divBdr>
        </w:div>
      </w:divsChild>
    </w:div>
    <w:div w:id="1456410891">
      <w:bodyDiv w:val="1"/>
      <w:marLeft w:val="0"/>
      <w:marRight w:val="0"/>
      <w:marTop w:val="0"/>
      <w:marBottom w:val="0"/>
      <w:divBdr>
        <w:top w:val="none" w:sz="0" w:space="0" w:color="auto"/>
        <w:left w:val="none" w:sz="0" w:space="0" w:color="auto"/>
        <w:bottom w:val="none" w:sz="0" w:space="0" w:color="auto"/>
        <w:right w:val="none" w:sz="0" w:space="0" w:color="auto"/>
      </w:divBdr>
    </w:div>
    <w:div w:id="1461612205">
      <w:bodyDiv w:val="1"/>
      <w:marLeft w:val="0"/>
      <w:marRight w:val="0"/>
      <w:marTop w:val="0"/>
      <w:marBottom w:val="0"/>
      <w:divBdr>
        <w:top w:val="none" w:sz="0" w:space="0" w:color="auto"/>
        <w:left w:val="none" w:sz="0" w:space="0" w:color="auto"/>
        <w:bottom w:val="none" w:sz="0" w:space="0" w:color="auto"/>
        <w:right w:val="none" w:sz="0" w:space="0" w:color="auto"/>
      </w:divBdr>
      <w:divsChild>
        <w:div w:id="1567455548">
          <w:marLeft w:val="0"/>
          <w:marRight w:val="0"/>
          <w:marTop w:val="0"/>
          <w:marBottom w:val="0"/>
          <w:divBdr>
            <w:top w:val="none" w:sz="0" w:space="0" w:color="auto"/>
            <w:left w:val="none" w:sz="0" w:space="0" w:color="auto"/>
            <w:bottom w:val="none" w:sz="0" w:space="0" w:color="auto"/>
            <w:right w:val="none" w:sz="0" w:space="0" w:color="auto"/>
          </w:divBdr>
          <w:divsChild>
            <w:div w:id="1047487104">
              <w:marLeft w:val="0"/>
              <w:marRight w:val="0"/>
              <w:marTop w:val="0"/>
              <w:marBottom w:val="0"/>
              <w:divBdr>
                <w:top w:val="none" w:sz="0" w:space="0" w:color="auto"/>
                <w:left w:val="none" w:sz="0" w:space="0" w:color="auto"/>
                <w:bottom w:val="none" w:sz="0" w:space="0" w:color="auto"/>
                <w:right w:val="none" w:sz="0" w:space="0" w:color="auto"/>
              </w:divBdr>
              <w:divsChild>
                <w:div w:id="174151931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83837551">
          <w:marLeft w:val="0"/>
          <w:marRight w:val="0"/>
          <w:marTop w:val="0"/>
          <w:marBottom w:val="0"/>
          <w:divBdr>
            <w:top w:val="none" w:sz="0" w:space="0" w:color="auto"/>
            <w:left w:val="none" w:sz="0" w:space="0" w:color="auto"/>
            <w:bottom w:val="none" w:sz="0" w:space="0" w:color="auto"/>
            <w:right w:val="none" w:sz="0" w:space="0" w:color="auto"/>
          </w:divBdr>
          <w:divsChild>
            <w:div w:id="783425827">
              <w:marLeft w:val="0"/>
              <w:marRight w:val="0"/>
              <w:marTop w:val="0"/>
              <w:marBottom w:val="0"/>
              <w:divBdr>
                <w:top w:val="none" w:sz="0" w:space="0" w:color="auto"/>
                <w:left w:val="none" w:sz="0" w:space="0" w:color="auto"/>
                <w:bottom w:val="none" w:sz="0" w:space="0" w:color="auto"/>
                <w:right w:val="none" w:sz="0" w:space="0" w:color="auto"/>
              </w:divBdr>
              <w:divsChild>
                <w:div w:id="3853003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26686627">
          <w:marLeft w:val="0"/>
          <w:marRight w:val="0"/>
          <w:marTop w:val="0"/>
          <w:marBottom w:val="0"/>
          <w:divBdr>
            <w:top w:val="none" w:sz="0" w:space="0" w:color="auto"/>
            <w:left w:val="none" w:sz="0" w:space="0" w:color="auto"/>
            <w:bottom w:val="none" w:sz="0" w:space="0" w:color="auto"/>
            <w:right w:val="none" w:sz="0" w:space="0" w:color="auto"/>
          </w:divBdr>
          <w:divsChild>
            <w:div w:id="1133594370">
              <w:marLeft w:val="0"/>
              <w:marRight w:val="0"/>
              <w:marTop w:val="0"/>
              <w:marBottom w:val="0"/>
              <w:divBdr>
                <w:top w:val="none" w:sz="0" w:space="0" w:color="auto"/>
                <w:left w:val="none" w:sz="0" w:space="0" w:color="auto"/>
                <w:bottom w:val="none" w:sz="0" w:space="0" w:color="auto"/>
                <w:right w:val="none" w:sz="0" w:space="0" w:color="auto"/>
              </w:divBdr>
              <w:divsChild>
                <w:div w:id="17266440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8733777">
          <w:marLeft w:val="0"/>
          <w:marRight w:val="0"/>
          <w:marTop w:val="0"/>
          <w:marBottom w:val="0"/>
          <w:divBdr>
            <w:top w:val="none" w:sz="0" w:space="0" w:color="auto"/>
            <w:left w:val="none" w:sz="0" w:space="0" w:color="auto"/>
            <w:bottom w:val="none" w:sz="0" w:space="0" w:color="auto"/>
            <w:right w:val="none" w:sz="0" w:space="0" w:color="auto"/>
          </w:divBdr>
          <w:divsChild>
            <w:div w:id="1811362873">
              <w:marLeft w:val="0"/>
              <w:marRight w:val="0"/>
              <w:marTop w:val="0"/>
              <w:marBottom w:val="0"/>
              <w:divBdr>
                <w:top w:val="none" w:sz="0" w:space="0" w:color="auto"/>
                <w:left w:val="none" w:sz="0" w:space="0" w:color="auto"/>
                <w:bottom w:val="none" w:sz="0" w:space="0" w:color="auto"/>
                <w:right w:val="none" w:sz="0" w:space="0" w:color="auto"/>
              </w:divBdr>
              <w:divsChild>
                <w:div w:id="6938483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89988545">
          <w:marLeft w:val="0"/>
          <w:marRight w:val="0"/>
          <w:marTop w:val="0"/>
          <w:marBottom w:val="0"/>
          <w:divBdr>
            <w:top w:val="none" w:sz="0" w:space="0" w:color="auto"/>
            <w:left w:val="none" w:sz="0" w:space="0" w:color="auto"/>
            <w:bottom w:val="none" w:sz="0" w:space="0" w:color="auto"/>
            <w:right w:val="none" w:sz="0" w:space="0" w:color="auto"/>
          </w:divBdr>
          <w:divsChild>
            <w:div w:id="59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1256">
      <w:bodyDiv w:val="1"/>
      <w:marLeft w:val="0"/>
      <w:marRight w:val="0"/>
      <w:marTop w:val="0"/>
      <w:marBottom w:val="0"/>
      <w:divBdr>
        <w:top w:val="none" w:sz="0" w:space="0" w:color="auto"/>
        <w:left w:val="none" w:sz="0" w:space="0" w:color="auto"/>
        <w:bottom w:val="none" w:sz="0" w:space="0" w:color="auto"/>
        <w:right w:val="none" w:sz="0" w:space="0" w:color="auto"/>
      </w:divBdr>
    </w:div>
    <w:div w:id="1467549010">
      <w:bodyDiv w:val="1"/>
      <w:marLeft w:val="0"/>
      <w:marRight w:val="0"/>
      <w:marTop w:val="0"/>
      <w:marBottom w:val="0"/>
      <w:divBdr>
        <w:top w:val="none" w:sz="0" w:space="0" w:color="auto"/>
        <w:left w:val="none" w:sz="0" w:space="0" w:color="auto"/>
        <w:bottom w:val="none" w:sz="0" w:space="0" w:color="auto"/>
        <w:right w:val="none" w:sz="0" w:space="0" w:color="auto"/>
      </w:divBdr>
    </w:div>
    <w:div w:id="1478037399">
      <w:bodyDiv w:val="1"/>
      <w:marLeft w:val="0"/>
      <w:marRight w:val="0"/>
      <w:marTop w:val="0"/>
      <w:marBottom w:val="0"/>
      <w:divBdr>
        <w:top w:val="none" w:sz="0" w:space="0" w:color="auto"/>
        <w:left w:val="none" w:sz="0" w:space="0" w:color="auto"/>
        <w:bottom w:val="none" w:sz="0" w:space="0" w:color="auto"/>
        <w:right w:val="none" w:sz="0" w:space="0" w:color="auto"/>
      </w:divBdr>
      <w:divsChild>
        <w:div w:id="1885408535">
          <w:marLeft w:val="0"/>
          <w:marRight w:val="0"/>
          <w:marTop w:val="240"/>
          <w:marBottom w:val="120"/>
          <w:divBdr>
            <w:top w:val="none" w:sz="0" w:space="0" w:color="auto"/>
            <w:left w:val="none" w:sz="0" w:space="0" w:color="auto"/>
            <w:bottom w:val="none" w:sz="0" w:space="0" w:color="auto"/>
            <w:right w:val="none" w:sz="0" w:space="0" w:color="auto"/>
          </w:divBdr>
        </w:div>
        <w:div w:id="228730562">
          <w:marLeft w:val="0"/>
          <w:marRight w:val="0"/>
          <w:marTop w:val="240"/>
          <w:marBottom w:val="120"/>
          <w:divBdr>
            <w:top w:val="none" w:sz="0" w:space="0" w:color="auto"/>
            <w:left w:val="none" w:sz="0" w:space="0" w:color="auto"/>
            <w:bottom w:val="none" w:sz="0" w:space="0" w:color="auto"/>
            <w:right w:val="none" w:sz="0" w:space="0" w:color="auto"/>
          </w:divBdr>
          <w:divsChild>
            <w:div w:id="688917418">
              <w:marLeft w:val="0"/>
              <w:marRight w:val="0"/>
              <w:marTop w:val="0"/>
              <w:marBottom w:val="0"/>
              <w:divBdr>
                <w:top w:val="none" w:sz="0" w:space="0" w:color="auto"/>
                <w:left w:val="none" w:sz="0" w:space="0" w:color="auto"/>
                <w:bottom w:val="none" w:sz="0" w:space="0" w:color="auto"/>
                <w:right w:val="none" w:sz="0" w:space="0" w:color="auto"/>
              </w:divBdr>
            </w:div>
          </w:divsChild>
        </w:div>
        <w:div w:id="1993942594">
          <w:marLeft w:val="0"/>
          <w:marRight w:val="0"/>
          <w:marTop w:val="240"/>
          <w:marBottom w:val="120"/>
          <w:divBdr>
            <w:top w:val="none" w:sz="0" w:space="0" w:color="auto"/>
            <w:left w:val="none" w:sz="0" w:space="0" w:color="auto"/>
            <w:bottom w:val="none" w:sz="0" w:space="0" w:color="auto"/>
            <w:right w:val="none" w:sz="0" w:space="0" w:color="auto"/>
          </w:divBdr>
        </w:div>
      </w:divsChild>
    </w:div>
    <w:div w:id="1516067612">
      <w:bodyDiv w:val="1"/>
      <w:marLeft w:val="0"/>
      <w:marRight w:val="0"/>
      <w:marTop w:val="0"/>
      <w:marBottom w:val="0"/>
      <w:divBdr>
        <w:top w:val="none" w:sz="0" w:space="0" w:color="auto"/>
        <w:left w:val="none" w:sz="0" w:space="0" w:color="auto"/>
        <w:bottom w:val="none" w:sz="0" w:space="0" w:color="auto"/>
        <w:right w:val="none" w:sz="0" w:space="0" w:color="auto"/>
      </w:divBdr>
      <w:divsChild>
        <w:div w:id="1530872531">
          <w:marLeft w:val="0"/>
          <w:marRight w:val="0"/>
          <w:marTop w:val="240"/>
          <w:marBottom w:val="120"/>
          <w:divBdr>
            <w:top w:val="none" w:sz="0" w:space="0" w:color="auto"/>
            <w:left w:val="none" w:sz="0" w:space="0" w:color="auto"/>
            <w:bottom w:val="none" w:sz="0" w:space="0" w:color="auto"/>
            <w:right w:val="none" w:sz="0" w:space="0" w:color="auto"/>
          </w:divBdr>
        </w:div>
        <w:div w:id="801382775">
          <w:marLeft w:val="0"/>
          <w:marRight w:val="0"/>
          <w:marTop w:val="240"/>
          <w:marBottom w:val="120"/>
          <w:divBdr>
            <w:top w:val="none" w:sz="0" w:space="0" w:color="auto"/>
            <w:left w:val="none" w:sz="0" w:space="0" w:color="auto"/>
            <w:bottom w:val="none" w:sz="0" w:space="0" w:color="auto"/>
            <w:right w:val="none" w:sz="0" w:space="0" w:color="auto"/>
          </w:divBdr>
        </w:div>
      </w:divsChild>
    </w:div>
    <w:div w:id="1537504328">
      <w:bodyDiv w:val="1"/>
      <w:marLeft w:val="0"/>
      <w:marRight w:val="0"/>
      <w:marTop w:val="0"/>
      <w:marBottom w:val="0"/>
      <w:divBdr>
        <w:top w:val="none" w:sz="0" w:space="0" w:color="auto"/>
        <w:left w:val="none" w:sz="0" w:space="0" w:color="auto"/>
        <w:bottom w:val="none" w:sz="0" w:space="0" w:color="auto"/>
        <w:right w:val="none" w:sz="0" w:space="0" w:color="auto"/>
      </w:divBdr>
      <w:divsChild>
        <w:div w:id="2123305317">
          <w:marLeft w:val="0"/>
          <w:marRight w:val="0"/>
          <w:marTop w:val="0"/>
          <w:marBottom w:val="0"/>
          <w:divBdr>
            <w:top w:val="none" w:sz="0" w:space="0" w:color="auto"/>
            <w:left w:val="none" w:sz="0" w:space="0" w:color="auto"/>
            <w:bottom w:val="none" w:sz="0" w:space="0" w:color="auto"/>
            <w:right w:val="none" w:sz="0" w:space="0" w:color="auto"/>
          </w:divBdr>
        </w:div>
      </w:divsChild>
    </w:div>
    <w:div w:id="1538858597">
      <w:bodyDiv w:val="1"/>
      <w:marLeft w:val="0"/>
      <w:marRight w:val="0"/>
      <w:marTop w:val="0"/>
      <w:marBottom w:val="0"/>
      <w:divBdr>
        <w:top w:val="none" w:sz="0" w:space="0" w:color="auto"/>
        <w:left w:val="none" w:sz="0" w:space="0" w:color="auto"/>
        <w:bottom w:val="none" w:sz="0" w:space="0" w:color="auto"/>
        <w:right w:val="none" w:sz="0" w:space="0" w:color="auto"/>
      </w:divBdr>
    </w:div>
    <w:div w:id="1579710695">
      <w:bodyDiv w:val="1"/>
      <w:marLeft w:val="0"/>
      <w:marRight w:val="0"/>
      <w:marTop w:val="0"/>
      <w:marBottom w:val="0"/>
      <w:divBdr>
        <w:top w:val="none" w:sz="0" w:space="0" w:color="auto"/>
        <w:left w:val="none" w:sz="0" w:space="0" w:color="auto"/>
        <w:bottom w:val="none" w:sz="0" w:space="0" w:color="auto"/>
        <w:right w:val="none" w:sz="0" w:space="0" w:color="auto"/>
      </w:divBdr>
    </w:div>
    <w:div w:id="1617522742">
      <w:bodyDiv w:val="1"/>
      <w:marLeft w:val="0"/>
      <w:marRight w:val="0"/>
      <w:marTop w:val="0"/>
      <w:marBottom w:val="0"/>
      <w:divBdr>
        <w:top w:val="none" w:sz="0" w:space="0" w:color="auto"/>
        <w:left w:val="none" w:sz="0" w:space="0" w:color="auto"/>
        <w:bottom w:val="none" w:sz="0" w:space="0" w:color="auto"/>
        <w:right w:val="none" w:sz="0" w:space="0" w:color="auto"/>
      </w:divBdr>
    </w:div>
    <w:div w:id="1618902601">
      <w:bodyDiv w:val="1"/>
      <w:marLeft w:val="0"/>
      <w:marRight w:val="0"/>
      <w:marTop w:val="0"/>
      <w:marBottom w:val="0"/>
      <w:divBdr>
        <w:top w:val="none" w:sz="0" w:space="0" w:color="auto"/>
        <w:left w:val="none" w:sz="0" w:space="0" w:color="auto"/>
        <w:bottom w:val="none" w:sz="0" w:space="0" w:color="auto"/>
        <w:right w:val="none" w:sz="0" w:space="0" w:color="auto"/>
      </w:divBdr>
      <w:divsChild>
        <w:div w:id="2031639563">
          <w:marLeft w:val="0"/>
          <w:marRight w:val="0"/>
          <w:marTop w:val="240"/>
          <w:marBottom w:val="120"/>
          <w:divBdr>
            <w:top w:val="none" w:sz="0" w:space="0" w:color="auto"/>
            <w:left w:val="none" w:sz="0" w:space="0" w:color="auto"/>
            <w:bottom w:val="none" w:sz="0" w:space="0" w:color="auto"/>
            <w:right w:val="none" w:sz="0" w:space="0" w:color="auto"/>
          </w:divBdr>
        </w:div>
        <w:div w:id="1101875011">
          <w:marLeft w:val="0"/>
          <w:marRight w:val="0"/>
          <w:marTop w:val="240"/>
          <w:marBottom w:val="120"/>
          <w:divBdr>
            <w:top w:val="none" w:sz="0" w:space="0" w:color="auto"/>
            <w:left w:val="none" w:sz="0" w:space="0" w:color="auto"/>
            <w:bottom w:val="none" w:sz="0" w:space="0" w:color="auto"/>
            <w:right w:val="none" w:sz="0" w:space="0" w:color="auto"/>
          </w:divBdr>
        </w:div>
      </w:divsChild>
    </w:div>
    <w:div w:id="1630043200">
      <w:bodyDiv w:val="1"/>
      <w:marLeft w:val="0"/>
      <w:marRight w:val="0"/>
      <w:marTop w:val="0"/>
      <w:marBottom w:val="0"/>
      <w:divBdr>
        <w:top w:val="none" w:sz="0" w:space="0" w:color="auto"/>
        <w:left w:val="none" w:sz="0" w:space="0" w:color="auto"/>
        <w:bottom w:val="none" w:sz="0" w:space="0" w:color="auto"/>
        <w:right w:val="none" w:sz="0" w:space="0" w:color="auto"/>
      </w:divBdr>
      <w:divsChild>
        <w:div w:id="551429439">
          <w:marLeft w:val="0"/>
          <w:marRight w:val="0"/>
          <w:marTop w:val="240"/>
          <w:marBottom w:val="120"/>
          <w:divBdr>
            <w:top w:val="none" w:sz="0" w:space="0" w:color="auto"/>
            <w:left w:val="none" w:sz="0" w:space="0" w:color="auto"/>
            <w:bottom w:val="none" w:sz="0" w:space="0" w:color="auto"/>
            <w:right w:val="none" w:sz="0" w:space="0" w:color="auto"/>
          </w:divBdr>
        </w:div>
        <w:div w:id="2040886506">
          <w:marLeft w:val="0"/>
          <w:marRight w:val="0"/>
          <w:marTop w:val="240"/>
          <w:marBottom w:val="120"/>
          <w:divBdr>
            <w:top w:val="none" w:sz="0" w:space="0" w:color="auto"/>
            <w:left w:val="none" w:sz="0" w:space="0" w:color="auto"/>
            <w:bottom w:val="none" w:sz="0" w:space="0" w:color="auto"/>
            <w:right w:val="none" w:sz="0" w:space="0" w:color="auto"/>
          </w:divBdr>
        </w:div>
      </w:divsChild>
    </w:div>
    <w:div w:id="1655068882">
      <w:bodyDiv w:val="1"/>
      <w:marLeft w:val="0"/>
      <w:marRight w:val="0"/>
      <w:marTop w:val="0"/>
      <w:marBottom w:val="0"/>
      <w:divBdr>
        <w:top w:val="none" w:sz="0" w:space="0" w:color="auto"/>
        <w:left w:val="none" w:sz="0" w:space="0" w:color="auto"/>
        <w:bottom w:val="none" w:sz="0" w:space="0" w:color="auto"/>
        <w:right w:val="none" w:sz="0" w:space="0" w:color="auto"/>
      </w:divBdr>
    </w:div>
    <w:div w:id="1669600376">
      <w:bodyDiv w:val="1"/>
      <w:marLeft w:val="0"/>
      <w:marRight w:val="0"/>
      <w:marTop w:val="0"/>
      <w:marBottom w:val="0"/>
      <w:divBdr>
        <w:top w:val="none" w:sz="0" w:space="0" w:color="auto"/>
        <w:left w:val="none" w:sz="0" w:space="0" w:color="auto"/>
        <w:bottom w:val="none" w:sz="0" w:space="0" w:color="auto"/>
        <w:right w:val="none" w:sz="0" w:space="0" w:color="auto"/>
      </w:divBdr>
    </w:div>
    <w:div w:id="1676883340">
      <w:bodyDiv w:val="1"/>
      <w:marLeft w:val="0"/>
      <w:marRight w:val="0"/>
      <w:marTop w:val="0"/>
      <w:marBottom w:val="0"/>
      <w:divBdr>
        <w:top w:val="none" w:sz="0" w:space="0" w:color="auto"/>
        <w:left w:val="none" w:sz="0" w:space="0" w:color="auto"/>
        <w:bottom w:val="none" w:sz="0" w:space="0" w:color="auto"/>
        <w:right w:val="none" w:sz="0" w:space="0" w:color="auto"/>
      </w:divBdr>
    </w:div>
    <w:div w:id="1677683574">
      <w:bodyDiv w:val="1"/>
      <w:marLeft w:val="0"/>
      <w:marRight w:val="0"/>
      <w:marTop w:val="0"/>
      <w:marBottom w:val="0"/>
      <w:divBdr>
        <w:top w:val="none" w:sz="0" w:space="0" w:color="auto"/>
        <w:left w:val="none" w:sz="0" w:space="0" w:color="auto"/>
        <w:bottom w:val="none" w:sz="0" w:space="0" w:color="auto"/>
        <w:right w:val="none" w:sz="0" w:space="0" w:color="auto"/>
      </w:divBdr>
      <w:divsChild>
        <w:div w:id="984627263">
          <w:marLeft w:val="0"/>
          <w:marRight w:val="0"/>
          <w:marTop w:val="0"/>
          <w:marBottom w:val="0"/>
          <w:divBdr>
            <w:top w:val="none" w:sz="0" w:space="0" w:color="auto"/>
            <w:left w:val="none" w:sz="0" w:space="0" w:color="auto"/>
            <w:bottom w:val="none" w:sz="0" w:space="0" w:color="auto"/>
            <w:right w:val="none" w:sz="0" w:space="0" w:color="auto"/>
          </w:divBdr>
        </w:div>
      </w:divsChild>
    </w:div>
    <w:div w:id="1694186610">
      <w:bodyDiv w:val="1"/>
      <w:marLeft w:val="0"/>
      <w:marRight w:val="0"/>
      <w:marTop w:val="0"/>
      <w:marBottom w:val="0"/>
      <w:divBdr>
        <w:top w:val="none" w:sz="0" w:space="0" w:color="auto"/>
        <w:left w:val="none" w:sz="0" w:space="0" w:color="auto"/>
        <w:bottom w:val="none" w:sz="0" w:space="0" w:color="auto"/>
        <w:right w:val="none" w:sz="0" w:space="0" w:color="auto"/>
      </w:divBdr>
      <w:divsChild>
        <w:div w:id="366294417">
          <w:marLeft w:val="0"/>
          <w:marRight w:val="0"/>
          <w:marTop w:val="240"/>
          <w:marBottom w:val="120"/>
          <w:divBdr>
            <w:top w:val="none" w:sz="0" w:space="0" w:color="auto"/>
            <w:left w:val="none" w:sz="0" w:space="0" w:color="auto"/>
            <w:bottom w:val="none" w:sz="0" w:space="0" w:color="auto"/>
            <w:right w:val="none" w:sz="0" w:space="0" w:color="auto"/>
          </w:divBdr>
        </w:div>
        <w:div w:id="84350616">
          <w:marLeft w:val="0"/>
          <w:marRight w:val="0"/>
          <w:marTop w:val="240"/>
          <w:marBottom w:val="120"/>
          <w:divBdr>
            <w:top w:val="none" w:sz="0" w:space="0" w:color="auto"/>
            <w:left w:val="none" w:sz="0" w:space="0" w:color="auto"/>
            <w:bottom w:val="none" w:sz="0" w:space="0" w:color="auto"/>
            <w:right w:val="none" w:sz="0" w:space="0" w:color="auto"/>
          </w:divBdr>
        </w:div>
      </w:divsChild>
    </w:div>
    <w:div w:id="1699888713">
      <w:bodyDiv w:val="1"/>
      <w:marLeft w:val="0"/>
      <w:marRight w:val="0"/>
      <w:marTop w:val="0"/>
      <w:marBottom w:val="0"/>
      <w:divBdr>
        <w:top w:val="none" w:sz="0" w:space="0" w:color="auto"/>
        <w:left w:val="none" w:sz="0" w:space="0" w:color="auto"/>
        <w:bottom w:val="none" w:sz="0" w:space="0" w:color="auto"/>
        <w:right w:val="none" w:sz="0" w:space="0" w:color="auto"/>
      </w:divBdr>
    </w:div>
    <w:div w:id="1703286093">
      <w:bodyDiv w:val="1"/>
      <w:marLeft w:val="0"/>
      <w:marRight w:val="0"/>
      <w:marTop w:val="0"/>
      <w:marBottom w:val="0"/>
      <w:divBdr>
        <w:top w:val="none" w:sz="0" w:space="0" w:color="auto"/>
        <w:left w:val="none" w:sz="0" w:space="0" w:color="auto"/>
        <w:bottom w:val="none" w:sz="0" w:space="0" w:color="auto"/>
        <w:right w:val="none" w:sz="0" w:space="0" w:color="auto"/>
      </w:divBdr>
      <w:divsChild>
        <w:div w:id="1919898325">
          <w:marLeft w:val="0"/>
          <w:marRight w:val="0"/>
          <w:marTop w:val="0"/>
          <w:marBottom w:val="0"/>
          <w:divBdr>
            <w:top w:val="none" w:sz="0" w:space="0" w:color="auto"/>
            <w:left w:val="none" w:sz="0" w:space="0" w:color="auto"/>
            <w:bottom w:val="none" w:sz="0" w:space="0" w:color="auto"/>
            <w:right w:val="none" w:sz="0" w:space="0" w:color="auto"/>
          </w:divBdr>
        </w:div>
        <w:div w:id="1743018866">
          <w:marLeft w:val="0"/>
          <w:marRight w:val="0"/>
          <w:marTop w:val="0"/>
          <w:marBottom w:val="0"/>
          <w:divBdr>
            <w:top w:val="none" w:sz="0" w:space="0" w:color="auto"/>
            <w:left w:val="none" w:sz="0" w:space="0" w:color="auto"/>
            <w:bottom w:val="none" w:sz="0" w:space="0" w:color="auto"/>
            <w:right w:val="none" w:sz="0" w:space="0" w:color="auto"/>
          </w:divBdr>
        </w:div>
        <w:div w:id="1141918787">
          <w:marLeft w:val="0"/>
          <w:marRight w:val="0"/>
          <w:marTop w:val="0"/>
          <w:marBottom w:val="0"/>
          <w:divBdr>
            <w:top w:val="none" w:sz="0" w:space="0" w:color="auto"/>
            <w:left w:val="none" w:sz="0" w:space="0" w:color="auto"/>
            <w:bottom w:val="none" w:sz="0" w:space="0" w:color="auto"/>
            <w:right w:val="none" w:sz="0" w:space="0" w:color="auto"/>
          </w:divBdr>
        </w:div>
        <w:div w:id="1459759919">
          <w:marLeft w:val="0"/>
          <w:marRight w:val="0"/>
          <w:marTop w:val="0"/>
          <w:marBottom w:val="0"/>
          <w:divBdr>
            <w:top w:val="none" w:sz="0" w:space="0" w:color="auto"/>
            <w:left w:val="none" w:sz="0" w:space="0" w:color="auto"/>
            <w:bottom w:val="none" w:sz="0" w:space="0" w:color="auto"/>
            <w:right w:val="none" w:sz="0" w:space="0" w:color="auto"/>
          </w:divBdr>
        </w:div>
        <w:div w:id="765153019">
          <w:marLeft w:val="0"/>
          <w:marRight w:val="0"/>
          <w:marTop w:val="0"/>
          <w:marBottom w:val="0"/>
          <w:divBdr>
            <w:top w:val="none" w:sz="0" w:space="0" w:color="auto"/>
            <w:left w:val="none" w:sz="0" w:space="0" w:color="auto"/>
            <w:bottom w:val="none" w:sz="0" w:space="0" w:color="auto"/>
            <w:right w:val="none" w:sz="0" w:space="0" w:color="auto"/>
          </w:divBdr>
        </w:div>
        <w:div w:id="472409398">
          <w:marLeft w:val="0"/>
          <w:marRight w:val="0"/>
          <w:marTop w:val="0"/>
          <w:marBottom w:val="0"/>
          <w:divBdr>
            <w:top w:val="none" w:sz="0" w:space="0" w:color="auto"/>
            <w:left w:val="none" w:sz="0" w:space="0" w:color="auto"/>
            <w:bottom w:val="none" w:sz="0" w:space="0" w:color="auto"/>
            <w:right w:val="none" w:sz="0" w:space="0" w:color="auto"/>
          </w:divBdr>
        </w:div>
        <w:div w:id="1989018603">
          <w:marLeft w:val="0"/>
          <w:marRight w:val="0"/>
          <w:marTop w:val="0"/>
          <w:marBottom w:val="0"/>
          <w:divBdr>
            <w:top w:val="none" w:sz="0" w:space="0" w:color="auto"/>
            <w:left w:val="none" w:sz="0" w:space="0" w:color="auto"/>
            <w:bottom w:val="none" w:sz="0" w:space="0" w:color="auto"/>
            <w:right w:val="none" w:sz="0" w:space="0" w:color="auto"/>
          </w:divBdr>
        </w:div>
      </w:divsChild>
    </w:div>
    <w:div w:id="1713187965">
      <w:bodyDiv w:val="1"/>
      <w:marLeft w:val="0"/>
      <w:marRight w:val="0"/>
      <w:marTop w:val="0"/>
      <w:marBottom w:val="0"/>
      <w:divBdr>
        <w:top w:val="none" w:sz="0" w:space="0" w:color="auto"/>
        <w:left w:val="none" w:sz="0" w:space="0" w:color="auto"/>
        <w:bottom w:val="none" w:sz="0" w:space="0" w:color="auto"/>
        <w:right w:val="none" w:sz="0" w:space="0" w:color="auto"/>
      </w:divBdr>
    </w:div>
    <w:div w:id="1738936605">
      <w:bodyDiv w:val="1"/>
      <w:marLeft w:val="0"/>
      <w:marRight w:val="0"/>
      <w:marTop w:val="0"/>
      <w:marBottom w:val="0"/>
      <w:divBdr>
        <w:top w:val="none" w:sz="0" w:space="0" w:color="auto"/>
        <w:left w:val="none" w:sz="0" w:space="0" w:color="auto"/>
        <w:bottom w:val="none" w:sz="0" w:space="0" w:color="auto"/>
        <w:right w:val="none" w:sz="0" w:space="0" w:color="auto"/>
      </w:divBdr>
    </w:div>
    <w:div w:id="1763139110">
      <w:bodyDiv w:val="1"/>
      <w:marLeft w:val="0"/>
      <w:marRight w:val="0"/>
      <w:marTop w:val="0"/>
      <w:marBottom w:val="0"/>
      <w:divBdr>
        <w:top w:val="none" w:sz="0" w:space="0" w:color="auto"/>
        <w:left w:val="none" w:sz="0" w:space="0" w:color="auto"/>
        <w:bottom w:val="none" w:sz="0" w:space="0" w:color="auto"/>
        <w:right w:val="none" w:sz="0" w:space="0" w:color="auto"/>
      </w:divBdr>
    </w:div>
    <w:div w:id="1786609261">
      <w:bodyDiv w:val="1"/>
      <w:marLeft w:val="0"/>
      <w:marRight w:val="0"/>
      <w:marTop w:val="0"/>
      <w:marBottom w:val="0"/>
      <w:divBdr>
        <w:top w:val="none" w:sz="0" w:space="0" w:color="auto"/>
        <w:left w:val="none" w:sz="0" w:space="0" w:color="auto"/>
        <w:bottom w:val="none" w:sz="0" w:space="0" w:color="auto"/>
        <w:right w:val="none" w:sz="0" w:space="0" w:color="auto"/>
      </w:divBdr>
      <w:divsChild>
        <w:div w:id="1213153274">
          <w:marLeft w:val="0"/>
          <w:marRight w:val="0"/>
          <w:marTop w:val="0"/>
          <w:marBottom w:val="0"/>
          <w:divBdr>
            <w:top w:val="none" w:sz="0" w:space="0" w:color="auto"/>
            <w:left w:val="none" w:sz="0" w:space="0" w:color="auto"/>
            <w:bottom w:val="none" w:sz="0" w:space="0" w:color="auto"/>
            <w:right w:val="none" w:sz="0" w:space="0" w:color="auto"/>
          </w:divBdr>
        </w:div>
      </w:divsChild>
    </w:div>
    <w:div w:id="1806240448">
      <w:bodyDiv w:val="1"/>
      <w:marLeft w:val="0"/>
      <w:marRight w:val="0"/>
      <w:marTop w:val="0"/>
      <w:marBottom w:val="0"/>
      <w:divBdr>
        <w:top w:val="none" w:sz="0" w:space="0" w:color="auto"/>
        <w:left w:val="none" w:sz="0" w:space="0" w:color="auto"/>
        <w:bottom w:val="none" w:sz="0" w:space="0" w:color="auto"/>
        <w:right w:val="none" w:sz="0" w:space="0" w:color="auto"/>
      </w:divBdr>
    </w:div>
    <w:div w:id="1816487532">
      <w:bodyDiv w:val="1"/>
      <w:marLeft w:val="0"/>
      <w:marRight w:val="0"/>
      <w:marTop w:val="0"/>
      <w:marBottom w:val="0"/>
      <w:divBdr>
        <w:top w:val="none" w:sz="0" w:space="0" w:color="auto"/>
        <w:left w:val="none" w:sz="0" w:space="0" w:color="auto"/>
        <w:bottom w:val="none" w:sz="0" w:space="0" w:color="auto"/>
        <w:right w:val="none" w:sz="0" w:space="0" w:color="auto"/>
      </w:divBdr>
      <w:divsChild>
        <w:div w:id="252403282">
          <w:marLeft w:val="0"/>
          <w:marRight w:val="0"/>
          <w:marTop w:val="240"/>
          <w:marBottom w:val="120"/>
          <w:divBdr>
            <w:top w:val="none" w:sz="0" w:space="0" w:color="auto"/>
            <w:left w:val="none" w:sz="0" w:space="0" w:color="auto"/>
            <w:bottom w:val="none" w:sz="0" w:space="0" w:color="auto"/>
            <w:right w:val="none" w:sz="0" w:space="0" w:color="auto"/>
          </w:divBdr>
        </w:div>
        <w:div w:id="422533055">
          <w:marLeft w:val="0"/>
          <w:marRight w:val="0"/>
          <w:marTop w:val="240"/>
          <w:marBottom w:val="120"/>
          <w:divBdr>
            <w:top w:val="none" w:sz="0" w:space="0" w:color="auto"/>
            <w:left w:val="none" w:sz="0" w:space="0" w:color="auto"/>
            <w:bottom w:val="none" w:sz="0" w:space="0" w:color="auto"/>
            <w:right w:val="none" w:sz="0" w:space="0" w:color="auto"/>
          </w:divBdr>
        </w:div>
      </w:divsChild>
    </w:div>
    <w:div w:id="1817407174">
      <w:bodyDiv w:val="1"/>
      <w:marLeft w:val="0"/>
      <w:marRight w:val="0"/>
      <w:marTop w:val="0"/>
      <w:marBottom w:val="0"/>
      <w:divBdr>
        <w:top w:val="none" w:sz="0" w:space="0" w:color="auto"/>
        <w:left w:val="none" w:sz="0" w:space="0" w:color="auto"/>
        <w:bottom w:val="none" w:sz="0" w:space="0" w:color="auto"/>
        <w:right w:val="none" w:sz="0" w:space="0" w:color="auto"/>
      </w:divBdr>
    </w:div>
    <w:div w:id="1837649422">
      <w:bodyDiv w:val="1"/>
      <w:marLeft w:val="0"/>
      <w:marRight w:val="0"/>
      <w:marTop w:val="0"/>
      <w:marBottom w:val="0"/>
      <w:divBdr>
        <w:top w:val="none" w:sz="0" w:space="0" w:color="auto"/>
        <w:left w:val="none" w:sz="0" w:space="0" w:color="auto"/>
        <w:bottom w:val="none" w:sz="0" w:space="0" w:color="auto"/>
        <w:right w:val="none" w:sz="0" w:space="0" w:color="auto"/>
      </w:divBdr>
      <w:divsChild>
        <w:div w:id="1189680453">
          <w:marLeft w:val="0"/>
          <w:marRight w:val="0"/>
          <w:marTop w:val="240"/>
          <w:marBottom w:val="120"/>
          <w:divBdr>
            <w:top w:val="none" w:sz="0" w:space="0" w:color="auto"/>
            <w:left w:val="none" w:sz="0" w:space="0" w:color="auto"/>
            <w:bottom w:val="none" w:sz="0" w:space="0" w:color="auto"/>
            <w:right w:val="none" w:sz="0" w:space="0" w:color="auto"/>
          </w:divBdr>
        </w:div>
        <w:div w:id="164512462">
          <w:marLeft w:val="0"/>
          <w:marRight w:val="0"/>
          <w:marTop w:val="240"/>
          <w:marBottom w:val="120"/>
          <w:divBdr>
            <w:top w:val="none" w:sz="0" w:space="0" w:color="auto"/>
            <w:left w:val="none" w:sz="0" w:space="0" w:color="auto"/>
            <w:bottom w:val="none" w:sz="0" w:space="0" w:color="auto"/>
            <w:right w:val="none" w:sz="0" w:space="0" w:color="auto"/>
          </w:divBdr>
        </w:div>
      </w:divsChild>
    </w:div>
    <w:div w:id="1846096218">
      <w:bodyDiv w:val="1"/>
      <w:marLeft w:val="0"/>
      <w:marRight w:val="0"/>
      <w:marTop w:val="0"/>
      <w:marBottom w:val="0"/>
      <w:divBdr>
        <w:top w:val="none" w:sz="0" w:space="0" w:color="auto"/>
        <w:left w:val="none" w:sz="0" w:space="0" w:color="auto"/>
        <w:bottom w:val="none" w:sz="0" w:space="0" w:color="auto"/>
        <w:right w:val="none" w:sz="0" w:space="0" w:color="auto"/>
      </w:divBdr>
    </w:div>
    <w:div w:id="1883589115">
      <w:bodyDiv w:val="1"/>
      <w:marLeft w:val="0"/>
      <w:marRight w:val="0"/>
      <w:marTop w:val="0"/>
      <w:marBottom w:val="0"/>
      <w:divBdr>
        <w:top w:val="none" w:sz="0" w:space="0" w:color="auto"/>
        <w:left w:val="none" w:sz="0" w:space="0" w:color="auto"/>
        <w:bottom w:val="none" w:sz="0" w:space="0" w:color="auto"/>
        <w:right w:val="none" w:sz="0" w:space="0" w:color="auto"/>
      </w:divBdr>
      <w:divsChild>
        <w:div w:id="838421909">
          <w:marLeft w:val="0"/>
          <w:marRight w:val="0"/>
          <w:marTop w:val="240"/>
          <w:marBottom w:val="120"/>
          <w:divBdr>
            <w:top w:val="none" w:sz="0" w:space="0" w:color="auto"/>
            <w:left w:val="none" w:sz="0" w:space="0" w:color="auto"/>
            <w:bottom w:val="none" w:sz="0" w:space="0" w:color="auto"/>
            <w:right w:val="none" w:sz="0" w:space="0" w:color="auto"/>
          </w:divBdr>
        </w:div>
        <w:div w:id="1909344134">
          <w:marLeft w:val="0"/>
          <w:marRight w:val="0"/>
          <w:marTop w:val="240"/>
          <w:marBottom w:val="120"/>
          <w:divBdr>
            <w:top w:val="none" w:sz="0" w:space="0" w:color="auto"/>
            <w:left w:val="none" w:sz="0" w:space="0" w:color="auto"/>
            <w:bottom w:val="none" w:sz="0" w:space="0" w:color="auto"/>
            <w:right w:val="none" w:sz="0" w:space="0" w:color="auto"/>
          </w:divBdr>
        </w:div>
      </w:divsChild>
    </w:div>
    <w:div w:id="1895774191">
      <w:bodyDiv w:val="1"/>
      <w:marLeft w:val="0"/>
      <w:marRight w:val="0"/>
      <w:marTop w:val="0"/>
      <w:marBottom w:val="0"/>
      <w:divBdr>
        <w:top w:val="none" w:sz="0" w:space="0" w:color="auto"/>
        <w:left w:val="none" w:sz="0" w:space="0" w:color="auto"/>
        <w:bottom w:val="none" w:sz="0" w:space="0" w:color="auto"/>
        <w:right w:val="none" w:sz="0" w:space="0" w:color="auto"/>
      </w:divBdr>
      <w:divsChild>
        <w:div w:id="1924676278">
          <w:marLeft w:val="0"/>
          <w:marRight w:val="0"/>
          <w:marTop w:val="240"/>
          <w:marBottom w:val="120"/>
          <w:divBdr>
            <w:top w:val="none" w:sz="0" w:space="0" w:color="auto"/>
            <w:left w:val="none" w:sz="0" w:space="0" w:color="auto"/>
            <w:bottom w:val="none" w:sz="0" w:space="0" w:color="auto"/>
            <w:right w:val="none" w:sz="0" w:space="0" w:color="auto"/>
          </w:divBdr>
        </w:div>
        <w:div w:id="2111969833">
          <w:marLeft w:val="0"/>
          <w:marRight w:val="0"/>
          <w:marTop w:val="240"/>
          <w:marBottom w:val="120"/>
          <w:divBdr>
            <w:top w:val="none" w:sz="0" w:space="0" w:color="auto"/>
            <w:left w:val="none" w:sz="0" w:space="0" w:color="auto"/>
            <w:bottom w:val="none" w:sz="0" w:space="0" w:color="auto"/>
            <w:right w:val="none" w:sz="0" w:space="0" w:color="auto"/>
          </w:divBdr>
        </w:div>
        <w:div w:id="637103618">
          <w:marLeft w:val="0"/>
          <w:marRight w:val="0"/>
          <w:marTop w:val="240"/>
          <w:marBottom w:val="120"/>
          <w:divBdr>
            <w:top w:val="none" w:sz="0" w:space="0" w:color="auto"/>
            <w:left w:val="none" w:sz="0" w:space="0" w:color="auto"/>
            <w:bottom w:val="none" w:sz="0" w:space="0" w:color="auto"/>
            <w:right w:val="none" w:sz="0" w:space="0" w:color="auto"/>
          </w:divBdr>
        </w:div>
      </w:divsChild>
    </w:div>
    <w:div w:id="1924953586">
      <w:bodyDiv w:val="1"/>
      <w:marLeft w:val="0"/>
      <w:marRight w:val="0"/>
      <w:marTop w:val="0"/>
      <w:marBottom w:val="0"/>
      <w:divBdr>
        <w:top w:val="none" w:sz="0" w:space="0" w:color="auto"/>
        <w:left w:val="none" w:sz="0" w:space="0" w:color="auto"/>
        <w:bottom w:val="none" w:sz="0" w:space="0" w:color="auto"/>
        <w:right w:val="none" w:sz="0" w:space="0" w:color="auto"/>
      </w:divBdr>
      <w:divsChild>
        <w:div w:id="1671372655">
          <w:marLeft w:val="0"/>
          <w:marRight w:val="0"/>
          <w:marTop w:val="240"/>
          <w:marBottom w:val="120"/>
          <w:divBdr>
            <w:top w:val="none" w:sz="0" w:space="0" w:color="auto"/>
            <w:left w:val="none" w:sz="0" w:space="0" w:color="auto"/>
            <w:bottom w:val="none" w:sz="0" w:space="0" w:color="auto"/>
            <w:right w:val="none" w:sz="0" w:space="0" w:color="auto"/>
          </w:divBdr>
        </w:div>
        <w:div w:id="1775243485">
          <w:marLeft w:val="0"/>
          <w:marRight w:val="0"/>
          <w:marTop w:val="240"/>
          <w:marBottom w:val="120"/>
          <w:divBdr>
            <w:top w:val="none" w:sz="0" w:space="0" w:color="auto"/>
            <w:left w:val="none" w:sz="0" w:space="0" w:color="auto"/>
            <w:bottom w:val="none" w:sz="0" w:space="0" w:color="auto"/>
            <w:right w:val="none" w:sz="0" w:space="0" w:color="auto"/>
          </w:divBdr>
        </w:div>
      </w:divsChild>
    </w:div>
    <w:div w:id="1949042188">
      <w:bodyDiv w:val="1"/>
      <w:marLeft w:val="0"/>
      <w:marRight w:val="0"/>
      <w:marTop w:val="0"/>
      <w:marBottom w:val="0"/>
      <w:divBdr>
        <w:top w:val="none" w:sz="0" w:space="0" w:color="auto"/>
        <w:left w:val="none" w:sz="0" w:space="0" w:color="auto"/>
        <w:bottom w:val="none" w:sz="0" w:space="0" w:color="auto"/>
        <w:right w:val="none" w:sz="0" w:space="0" w:color="auto"/>
      </w:divBdr>
      <w:divsChild>
        <w:div w:id="1047414967">
          <w:marLeft w:val="0"/>
          <w:marRight w:val="0"/>
          <w:marTop w:val="0"/>
          <w:marBottom w:val="0"/>
          <w:divBdr>
            <w:top w:val="none" w:sz="0" w:space="0" w:color="auto"/>
            <w:left w:val="none" w:sz="0" w:space="0" w:color="auto"/>
            <w:bottom w:val="none" w:sz="0" w:space="0" w:color="auto"/>
            <w:right w:val="none" w:sz="0" w:space="0" w:color="auto"/>
          </w:divBdr>
        </w:div>
        <w:div w:id="707723711">
          <w:marLeft w:val="0"/>
          <w:marRight w:val="0"/>
          <w:marTop w:val="0"/>
          <w:marBottom w:val="0"/>
          <w:divBdr>
            <w:top w:val="none" w:sz="0" w:space="0" w:color="auto"/>
            <w:left w:val="none" w:sz="0" w:space="0" w:color="auto"/>
            <w:bottom w:val="none" w:sz="0" w:space="0" w:color="auto"/>
            <w:right w:val="none" w:sz="0" w:space="0" w:color="auto"/>
          </w:divBdr>
        </w:div>
        <w:div w:id="2040467447">
          <w:marLeft w:val="0"/>
          <w:marRight w:val="0"/>
          <w:marTop w:val="0"/>
          <w:marBottom w:val="0"/>
          <w:divBdr>
            <w:top w:val="none" w:sz="0" w:space="0" w:color="auto"/>
            <w:left w:val="none" w:sz="0" w:space="0" w:color="auto"/>
            <w:bottom w:val="none" w:sz="0" w:space="0" w:color="auto"/>
            <w:right w:val="none" w:sz="0" w:space="0" w:color="auto"/>
          </w:divBdr>
        </w:div>
        <w:div w:id="152650332">
          <w:marLeft w:val="0"/>
          <w:marRight w:val="0"/>
          <w:marTop w:val="0"/>
          <w:marBottom w:val="0"/>
          <w:divBdr>
            <w:top w:val="none" w:sz="0" w:space="0" w:color="auto"/>
            <w:left w:val="none" w:sz="0" w:space="0" w:color="auto"/>
            <w:bottom w:val="none" w:sz="0" w:space="0" w:color="auto"/>
            <w:right w:val="none" w:sz="0" w:space="0" w:color="auto"/>
          </w:divBdr>
        </w:div>
        <w:div w:id="1530606995">
          <w:marLeft w:val="0"/>
          <w:marRight w:val="0"/>
          <w:marTop w:val="0"/>
          <w:marBottom w:val="0"/>
          <w:divBdr>
            <w:top w:val="none" w:sz="0" w:space="0" w:color="auto"/>
            <w:left w:val="none" w:sz="0" w:space="0" w:color="auto"/>
            <w:bottom w:val="none" w:sz="0" w:space="0" w:color="auto"/>
            <w:right w:val="none" w:sz="0" w:space="0" w:color="auto"/>
          </w:divBdr>
        </w:div>
        <w:div w:id="1408116617">
          <w:marLeft w:val="0"/>
          <w:marRight w:val="0"/>
          <w:marTop w:val="0"/>
          <w:marBottom w:val="0"/>
          <w:divBdr>
            <w:top w:val="none" w:sz="0" w:space="0" w:color="auto"/>
            <w:left w:val="none" w:sz="0" w:space="0" w:color="auto"/>
            <w:bottom w:val="none" w:sz="0" w:space="0" w:color="auto"/>
            <w:right w:val="none" w:sz="0" w:space="0" w:color="auto"/>
          </w:divBdr>
        </w:div>
        <w:div w:id="1024207715">
          <w:marLeft w:val="0"/>
          <w:marRight w:val="0"/>
          <w:marTop w:val="0"/>
          <w:marBottom w:val="0"/>
          <w:divBdr>
            <w:top w:val="none" w:sz="0" w:space="0" w:color="auto"/>
            <w:left w:val="none" w:sz="0" w:space="0" w:color="auto"/>
            <w:bottom w:val="none" w:sz="0" w:space="0" w:color="auto"/>
            <w:right w:val="none" w:sz="0" w:space="0" w:color="auto"/>
          </w:divBdr>
        </w:div>
        <w:div w:id="315690869">
          <w:marLeft w:val="0"/>
          <w:marRight w:val="0"/>
          <w:marTop w:val="0"/>
          <w:marBottom w:val="0"/>
          <w:divBdr>
            <w:top w:val="none" w:sz="0" w:space="0" w:color="auto"/>
            <w:left w:val="none" w:sz="0" w:space="0" w:color="auto"/>
            <w:bottom w:val="none" w:sz="0" w:space="0" w:color="auto"/>
            <w:right w:val="none" w:sz="0" w:space="0" w:color="auto"/>
          </w:divBdr>
        </w:div>
        <w:div w:id="360935360">
          <w:marLeft w:val="0"/>
          <w:marRight w:val="0"/>
          <w:marTop w:val="0"/>
          <w:marBottom w:val="0"/>
          <w:divBdr>
            <w:top w:val="none" w:sz="0" w:space="0" w:color="auto"/>
            <w:left w:val="none" w:sz="0" w:space="0" w:color="auto"/>
            <w:bottom w:val="none" w:sz="0" w:space="0" w:color="auto"/>
            <w:right w:val="none" w:sz="0" w:space="0" w:color="auto"/>
          </w:divBdr>
        </w:div>
        <w:div w:id="1119295654">
          <w:marLeft w:val="0"/>
          <w:marRight w:val="0"/>
          <w:marTop w:val="0"/>
          <w:marBottom w:val="0"/>
          <w:divBdr>
            <w:top w:val="none" w:sz="0" w:space="0" w:color="auto"/>
            <w:left w:val="none" w:sz="0" w:space="0" w:color="auto"/>
            <w:bottom w:val="none" w:sz="0" w:space="0" w:color="auto"/>
            <w:right w:val="none" w:sz="0" w:space="0" w:color="auto"/>
          </w:divBdr>
        </w:div>
        <w:div w:id="361591032">
          <w:marLeft w:val="0"/>
          <w:marRight w:val="0"/>
          <w:marTop w:val="0"/>
          <w:marBottom w:val="0"/>
          <w:divBdr>
            <w:top w:val="none" w:sz="0" w:space="0" w:color="auto"/>
            <w:left w:val="none" w:sz="0" w:space="0" w:color="auto"/>
            <w:bottom w:val="none" w:sz="0" w:space="0" w:color="auto"/>
            <w:right w:val="none" w:sz="0" w:space="0" w:color="auto"/>
          </w:divBdr>
        </w:div>
        <w:div w:id="265773249">
          <w:marLeft w:val="0"/>
          <w:marRight w:val="0"/>
          <w:marTop w:val="0"/>
          <w:marBottom w:val="0"/>
          <w:divBdr>
            <w:top w:val="none" w:sz="0" w:space="0" w:color="auto"/>
            <w:left w:val="none" w:sz="0" w:space="0" w:color="auto"/>
            <w:bottom w:val="none" w:sz="0" w:space="0" w:color="auto"/>
            <w:right w:val="none" w:sz="0" w:space="0" w:color="auto"/>
          </w:divBdr>
        </w:div>
      </w:divsChild>
    </w:div>
    <w:div w:id="1950307065">
      <w:bodyDiv w:val="1"/>
      <w:marLeft w:val="0"/>
      <w:marRight w:val="0"/>
      <w:marTop w:val="0"/>
      <w:marBottom w:val="0"/>
      <w:divBdr>
        <w:top w:val="none" w:sz="0" w:space="0" w:color="auto"/>
        <w:left w:val="none" w:sz="0" w:space="0" w:color="auto"/>
        <w:bottom w:val="none" w:sz="0" w:space="0" w:color="auto"/>
        <w:right w:val="none" w:sz="0" w:space="0" w:color="auto"/>
      </w:divBdr>
      <w:divsChild>
        <w:div w:id="236746366">
          <w:marLeft w:val="0"/>
          <w:marRight w:val="0"/>
          <w:marTop w:val="0"/>
          <w:marBottom w:val="0"/>
          <w:divBdr>
            <w:top w:val="none" w:sz="0" w:space="0" w:color="auto"/>
            <w:left w:val="none" w:sz="0" w:space="0" w:color="auto"/>
            <w:bottom w:val="none" w:sz="0" w:space="0" w:color="auto"/>
            <w:right w:val="none" w:sz="0" w:space="0" w:color="auto"/>
          </w:divBdr>
        </w:div>
        <w:div w:id="1657492083">
          <w:marLeft w:val="0"/>
          <w:marRight w:val="0"/>
          <w:marTop w:val="0"/>
          <w:marBottom w:val="0"/>
          <w:divBdr>
            <w:top w:val="none" w:sz="0" w:space="0" w:color="auto"/>
            <w:left w:val="none" w:sz="0" w:space="0" w:color="auto"/>
            <w:bottom w:val="none" w:sz="0" w:space="0" w:color="auto"/>
            <w:right w:val="none" w:sz="0" w:space="0" w:color="auto"/>
          </w:divBdr>
        </w:div>
        <w:div w:id="453448515">
          <w:marLeft w:val="0"/>
          <w:marRight w:val="0"/>
          <w:marTop w:val="0"/>
          <w:marBottom w:val="0"/>
          <w:divBdr>
            <w:top w:val="none" w:sz="0" w:space="0" w:color="auto"/>
            <w:left w:val="none" w:sz="0" w:space="0" w:color="auto"/>
            <w:bottom w:val="none" w:sz="0" w:space="0" w:color="auto"/>
            <w:right w:val="none" w:sz="0" w:space="0" w:color="auto"/>
          </w:divBdr>
        </w:div>
        <w:div w:id="240792890">
          <w:marLeft w:val="0"/>
          <w:marRight w:val="0"/>
          <w:marTop w:val="0"/>
          <w:marBottom w:val="0"/>
          <w:divBdr>
            <w:top w:val="none" w:sz="0" w:space="0" w:color="auto"/>
            <w:left w:val="none" w:sz="0" w:space="0" w:color="auto"/>
            <w:bottom w:val="none" w:sz="0" w:space="0" w:color="auto"/>
            <w:right w:val="none" w:sz="0" w:space="0" w:color="auto"/>
          </w:divBdr>
        </w:div>
        <w:div w:id="349913899">
          <w:marLeft w:val="0"/>
          <w:marRight w:val="0"/>
          <w:marTop w:val="0"/>
          <w:marBottom w:val="0"/>
          <w:divBdr>
            <w:top w:val="none" w:sz="0" w:space="0" w:color="auto"/>
            <w:left w:val="none" w:sz="0" w:space="0" w:color="auto"/>
            <w:bottom w:val="none" w:sz="0" w:space="0" w:color="auto"/>
            <w:right w:val="none" w:sz="0" w:space="0" w:color="auto"/>
          </w:divBdr>
        </w:div>
      </w:divsChild>
    </w:div>
    <w:div w:id="1964581707">
      <w:bodyDiv w:val="1"/>
      <w:marLeft w:val="0"/>
      <w:marRight w:val="0"/>
      <w:marTop w:val="0"/>
      <w:marBottom w:val="0"/>
      <w:divBdr>
        <w:top w:val="none" w:sz="0" w:space="0" w:color="auto"/>
        <w:left w:val="none" w:sz="0" w:space="0" w:color="auto"/>
        <w:bottom w:val="none" w:sz="0" w:space="0" w:color="auto"/>
        <w:right w:val="none" w:sz="0" w:space="0" w:color="auto"/>
      </w:divBdr>
    </w:div>
    <w:div w:id="1971520710">
      <w:bodyDiv w:val="1"/>
      <w:marLeft w:val="0"/>
      <w:marRight w:val="0"/>
      <w:marTop w:val="0"/>
      <w:marBottom w:val="0"/>
      <w:divBdr>
        <w:top w:val="none" w:sz="0" w:space="0" w:color="auto"/>
        <w:left w:val="none" w:sz="0" w:space="0" w:color="auto"/>
        <w:bottom w:val="none" w:sz="0" w:space="0" w:color="auto"/>
        <w:right w:val="none" w:sz="0" w:space="0" w:color="auto"/>
      </w:divBdr>
    </w:div>
    <w:div w:id="2022707130">
      <w:bodyDiv w:val="1"/>
      <w:marLeft w:val="0"/>
      <w:marRight w:val="0"/>
      <w:marTop w:val="0"/>
      <w:marBottom w:val="0"/>
      <w:divBdr>
        <w:top w:val="none" w:sz="0" w:space="0" w:color="auto"/>
        <w:left w:val="none" w:sz="0" w:space="0" w:color="auto"/>
        <w:bottom w:val="none" w:sz="0" w:space="0" w:color="auto"/>
        <w:right w:val="none" w:sz="0" w:space="0" w:color="auto"/>
      </w:divBdr>
      <w:divsChild>
        <w:div w:id="928004364">
          <w:marLeft w:val="0"/>
          <w:marRight w:val="0"/>
          <w:marTop w:val="240"/>
          <w:marBottom w:val="120"/>
          <w:divBdr>
            <w:top w:val="none" w:sz="0" w:space="0" w:color="auto"/>
            <w:left w:val="none" w:sz="0" w:space="0" w:color="auto"/>
            <w:bottom w:val="none" w:sz="0" w:space="0" w:color="auto"/>
            <w:right w:val="none" w:sz="0" w:space="0" w:color="auto"/>
          </w:divBdr>
        </w:div>
        <w:div w:id="242221673">
          <w:marLeft w:val="0"/>
          <w:marRight w:val="0"/>
          <w:marTop w:val="240"/>
          <w:marBottom w:val="120"/>
          <w:divBdr>
            <w:top w:val="none" w:sz="0" w:space="0" w:color="auto"/>
            <w:left w:val="none" w:sz="0" w:space="0" w:color="auto"/>
            <w:bottom w:val="none" w:sz="0" w:space="0" w:color="auto"/>
            <w:right w:val="none" w:sz="0" w:space="0" w:color="auto"/>
          </w:divBdr>
        </w:div>
      </w:divsChild>
    </w:div>
    <w:div w:id="2032102412">
      <w:bodyDiv w:val="1"/>
      <w:marLeft w:val="0"/>
      <w:marRight w:val="0"/>
      <w:marTop w:val="0"/>
      <w:marBottom w:val="0"/>
      <w:divBdr>
        <w:top w:val="none" w:sz="0" w:space="0" w:color="auto"/>
        <w:left w:val="none" w:sz="0" w:space="0" w:color="auto"/>
        <w:bottom w:val="none" w:sz="0" w:space="0" w:color="auto"/>
        <w:right w:val="none" w:sz="0" w:space="0" w:color="auto"/>
      </w:divBdr>
      <w:divsChild>
        <w:div w:id="749274095">
          <w:marLeft w:val="0"/>
          <w:marRight w:val="0"/>
          <w:marTop w:val="0"/>
          <w:marBottom w:val="0"/>
          <w:divBdr>
            <w:top w:val="none" w:sz="0" w:space="0" w:color="auto"/>
            <w:left w:val="none" w:sz="0" w:space="0" w:color="auto"/>
            <w:bottom w:val="none" w:sz="0" w:space="0" w:color="auto"/>
            <w:right w:val="none" w:sz="0" w:space="0" w:color="auto"/>
          </w:divBdr>
        </w:div>
        <w:div w:id="1774126530">
          <w:marLeft w:val="0"/>
          <w:marRight w:val="0"/>
          <w:marTop w:val="0"/>
          <w:marBottom w:val="0"/>
          <w:divBdr>
            <w:top w:val="none" w:sz="0" w:space="0" w:color="auto"/>
            <w:left w:val="none" w:sz="0" w:space="0" w:color="auto"/>
            <w:bottom w:val="none" w:sz="0" w:space="0" w:color="auto"/>
            <w:right w:val="none" w:sz="0" w:space="0" w:color="auto"/>
          </w:divBdr>
        </w:div>
        <w:div w:id="1940405659">
          <w:marLeft w:val="0"/>
          <w:marRight w:val="0"/>
          <w:marTop w:val="0"/>
          <w:marBottom w:val="0"/>
          <w:divBdr>
            <w:top w:val="none" w:sz="0" w:space="0" w:color="auto"/>
            <w:left w:val="none" w:sz="0" w:space="0" w:color="auto"/>
            <w:bottom w:val="none" w:sz="0" w:space="0" w:color="auto"/>
            <w:right w:val="none" w:sz="0" w:space="0" w:color="auto"/>
          </w:divBdr>
        </w:div>
        <w:div w:id="110633973">
          <w:marLeft w:val="0"/>
          <w:marRight w:val="0"/>
          <w:marTop w:val="0"/>
          <w:marBottom w:val="0"/>
          <w:divBdr>
            <w:top w:val="none" w:sz="0" w:space="0" w:color="auto"/>
            <w:left w:val="none" w:sz="0" w:space="0" w:color="auto"/>
            <w:bottom w:val="none" w:sz="0" w:space="0" w:color="auto"/>
            <w:right w:val="none" w:sz="0" w:space="0" w:color="auto"/>
          </w:divBdr>
        </w:div>
        <w:div w:id="1867522057">
          <w:marLeft w:val="0"/>
          <w:marRight w:val="0"/>
          <w:marTop w:val="0"/>
          <w:marBottom w:val="0"/>
          <w:divBdr>
            <w:top w:val="none" w:sz="0" w:space="0" w:color="auto"/>
            <w:left w:val="none" w:sz="0" w:space="0" w:color="auto"/>
            <w:bottom w:val="none" w:sz="0" w:space="0" w:color="auto"/>
            <w:right w:val="none" w:sz="0" w:space="0" w:color="auto"/>
          </w:divBdr>
        </w:div>
      </w:divsChild>
    </w:div>
    <w:div w:id="2036424563">
      <w:bodyDiv w:val="1"/>
      <w:marLeft w:val="0"/>
      <w:marRight w:val="0"/>
      <w:marTop w:val="0"/>
      <w:marBottom w:val="0"/>
      <w:divBdr>
        <w:top w:val="none" w:sz="0" w:space="0" w:color="auto"/>
        <w:left w:val="none" w:sz="0" w:space="0" w:color="auto"/>
        <w:bottom w:val="none" w:sz="0" w:space="0" w:color="auto"/>
        <w:right w:val="none" w:sz="0" w:space="0" w:color="auto"/>
      </w:divBdr>
      <w:divsChild>
        <w:div w:id="1718622248">
          <w:marLeft w:val="0"/>
          <w:marRight w:val="0"/>
          <w:marTop w:val="0"/>
          <w:marBottom w:val="0"/>
          <w:divBdr>
            <w:top w:val="none" w:sz="0" w:space="0" w:color="auto"/>
            <w:left w:val="none" w:sz="0" w:space="0" w:color="auto"/>
            <w:bottom w:val="none" w:sz="0" w:space="0" w:color="auto"/>
            <w:right w:val="none" w:sz="0" w:space="0" w:color="auto"/>
          </w:divBdr>
          <w:divsChild>
            <w:div w:id="1772779654">
              <w:marLeft w:val="0"/>
              <w:marRight w:val="0"/>
              <w:marTop w:val="0"/>
              <w:marBottom w:val="0"/>
              <w:divBdr>
                <w:top w:val="none" w:sz="0" w:space="0" w:color="auto"/>
                <w:left w:val="none" w:sz="0" w:space="0" w:color="auto"/>
                <w:bottom w:val="none" w:sz="0" w:space="0" w:color="auto"/>
                <w:right w:val="none" w:sz="0" w:space="0" w:color="auto"/>
              </w:divBdr>
            </w:div>
          </w:divsChild>
        </w:div>
        <w:div w:id="799539563">
          <w:marLeft w:val="0"/>
          <w:marRight w:val="0"/>
          <w:marTop w:val="0"/>
          <w:marBottom w:val="0"/>
          <w:divBdr>
            <w:top w:val="none" w:sz="0" w:space="0" w:color="auto"/>
            <w:left w:val="none" w:sz="0" w:space="0" w:color="auto"/>
            <w:bottom w:val="none" w:sz="0" w:space="0" w:color="auto"/>
            <w:right w:val="none" w:sz="0" w:space="0" w:color="auto"/>
          </w:divBdr>
          <w:divsChild>
            <w:div w:id="110192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38194">
      <w:bodyDiv w:val="1"/>
      <w:marLeft w:val="0"/>
      <w:marRight w:val="0"/>
      <w:marTop w:val="0"/>
      <w:marBottom w:val="0"/>
      <w:divBdr>
        <w:top w:val="none" w:sz="0" w:space="0" w:color="auto"/>
        <w:left w:val="none" w:sz="0" w:space="0" w:color="auto"/>
        <w:bottom w:val="none" w:sz="0" w:space="0" w:color="auto"/>
        <w:right w:val="none" w:sz="0" w:space="0" w:color="auto"/>
      </w:divBdr>
      <w:divsChild>
        <w:div w:id="931090594">
          <w:marLeft w:val="0"/>
          <w:marRight w:val="0"/>
          <w:marTop w:val="0"/>
          <w:marBottom w:val="0"/>
          <w:divBdr>
            <w:top w:val="none" w:sz="0" w:space="0" w:color="auto"/>
            <w:left w:val="none" w:sz="0" w:space="0" w:color="auto"/>
            <w:bottom w:val="none" w:sz="0" w:space="0" w:color="auto"/>
            <w:right w:val="none" w:sz="0" w:space="0" w:color="auto"/>
          </w:divBdr>
          <w:divsChild>
            <w:div w:id="277033845">
              <w:marLeft w:val="0"/>
              <w:marRight w:val="0"/>
              <w:marTop w:val="0"/>
              <w:marBottom w:val="0"/>
              <w:divBdr>
                <w:top w:val="none" w:sz="0" w:space="0" w:color="auto"/>
                <w:left w:val="none" w:sz="0" w:space="0" w:color="auto"/>
                <w:bottom w:val="none" w:sz="0" w:space="0" w:color="auto"/>
                <w:right w:val="none" w:sz="0" w:space="0" w:color="auto"/>
              </w:divBdr>
              <w:divsChild>
                <w:div w:id="298146302">
                  <w:marLeft w:val="0"/>
                  <w:marRight w:val="0"/>
                  <w:marTop w:val="0"/>
                  <w:marBottom w:val="0"/>
                  <w:divBdr>
                    <w:top w:val="none" w:sz="0" w:space="0" w:color="auto"/>
                    <w:left w:val="none" w:sz="0" w:space="0" w:color="auto"/>
                    <w:bottom w:val="none" w:sz="0" w:space="0" w:color="auto"/>
                    <w:right w:val="none" w:sz="0" w:space="0" w:color="auto"/>
                  </w:divBdr>
                </w:div>
                <w:div w:id="1222443490">
                  <w:marLeft w:val="0"/>
                  <w:marRight w:val="0"/>
                  <w:marTop w:val="0"/>
                  <w:marBottom w:val="0"/>
                  <w:divBdr>
                    <w:top w:val="none" w:sz="0" w:space="0" w:color="auto"/>
                    <w:left w:val="none" w:sz="0" w:space="0" w:color="auto"/>
                    <w:bottom w:val="none" w:sz="0" w:space="0" w:color="auto"/>
                    <w:right w:val="none" w:sz="0" w:space="0" w:color="auto"/>
                  </w:divBdr>
                  <w:divsChild>
                    <w:div w:id="2063483237">
                      <w:marLeft w:val="0"/>
                      <w:marRight w:val="0"/>
                      <w:marTop w:val="0"/>
                      <w:marBottom w:val="0"/>
                      <w:divBdr>
                        <w:top w:val="none" w:sz="0" w:space="0" w:color="auto"/>
                        <w:left w:val="none" w:sz="0" w:space="0" w:color="auto"/>
                        <w:bottom w:val="none" w:sz="0" w:space="0" w:color="auto"/>
                        <w:right w:val="none" w:sz="0" w:space="0" w:color="auto"/>
                      </w:divBdr>
                    </w:div>
                  </w:divsChild>
                </w:div>
                <w:div w:id="1142380235">
                  <w:marLeft w:val="0"/>
                  <w:marRight w:val="0"/>
                  <w:marTop w:val="0"/>
                  <w:marBottom w:val="0"/>
                  <w:divBdr>
                    <w:top w:val="none" w:sz="0" w:space="0" w:color="auto"/>
                    <w:left w:val="none" w:sz="0" w:space="0" w:color="auto"/>
                    <w:bottom w:val="none" w:sz="0" w:space="0" w:color="auto"/>
                    <w:right w:val="none" w:sz="0" w:space="0" w:color="auto"/>
                  </w:divBdr>
                </w:div>
                <w:div w:id="10917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96262">
      <w:bodyDiv w:val="1"/>
      <w:marLeft w:val="0"/>
      <w:marRight w:val="0"/>
      <w:marTop w:val="0"/>
      <w:marBottom w:val="0"/>
      <w:divBdr>
        <w:top w:val="none" w:sz="0" w:space="0" w:color="auto"/>
        <w:left w:val="none" w:sz="0" w:space="0" w:color="auto"/>
        <w:bottom w:val="none" w:sz="0" w:space="0" w:color="auto"/>
        <w:right w:val="none" w:sz="0" w:space="0" w:color="auto"/>
      </w:divBdr>
      <w:divsChild>
        <w:div w:id="1183668879">
          <w:marLeft w:val="0"/>
          <w:marRight w:val="0"/>
          <w:marTop w:val="240"/>
          <w:marBottom w:val="120"/>
          <w:divBdr>
            <w:top w:val="none" w:sz="0" w:space="0" w:color="auto"/>
            <w:left w:val="none" w:sz="0" w:space="0" w:color="auto"/>
            <w:bottom w:val="none" w:sz="0" w:space="0" w:color="auto"/>
            <w:right w:val="none" w:sz="0" w:space="0" w:color="auto"/>
          </w:divBdr>
        </w:div>
        <w:div w:id="1255044047">
          <w:marLeft w:val="0"/>
          <w:marRight w:val="0"/>
          <w:marTop w:val="240"/>
          <w:marBottom w:val="120"/>
          <w:divBdr>
            <w:top w:val="none" w:sz="0" w:space="0" w:color="auto"/>
            <w:left w:val="none" w:sz="0" w:space="0" w:color="auto"/>
            <w:bottom w:val="none" w:sz="0" w:space="0" w:color="auto"/>
            <w:right w:val="none" w:sz="0" w:space="0" w:color="auto"/>
          </w:divBdr>
        </w:div>
      </w:divsChild>
    </w:div>
    <w:div w:id="2086608344">
      <w:bodyDiv w:val="1"/>
      <w:marLeft w:val="0"/>
      <w:marRight w:val="0"/>
      <w:marTop w:val="0"/>
      <w:marBottom w:val="0"/>
      <w:divBdr>
        <w:top w:val="none" w:sz="0" w:space="0" w:color="auto"/>
        <w:left w:val="none" w:sz="0" w:space="0" w:color="auto"/>
        <w:bottom w:val="none" w:sz="0" w:space="0" w:color="auto"/>
        <w:right w:val="none" w:sz="0" w:space="0" w:color="auto"/>
      </w:divBdr>
    </w:div>
    <w:div w:id="2094736706">
      <w:bodyDiv w:val="1"/>
      <w:marLeft w:val="0"/>
      <w:marRight w:val="0"/>
      <w:marTop w:val="0"/>
      <w:marBottom w:val="0"/>
      <w:divBdr>
        <w:top w:val="none" w:sz="0" w:space="0" w:color="auto"/>
        <w:left w:val="none" w:sz="0" w:space="0" w:color="auto"/>
        <w:bottom w:val="none" w:sz="0" w:space="0" w:color="auto"/>
        <w:right w:val="none" w:sz="0" w:space="0" w:color="auto"/>
      </w:divBdr>
      <w:divsChild>
        <w:div w:id="949966921">
          <w:marLeft w:val="0"/>
          <w:marRight w:val="0"/>
          <w:marTop w:val="0"/>
          <w:marBottom w:val="0"/>
          <w:divBdr>
            <w:top w:val="none" w:sz="0" w:space="0" w:color="auto"/>
            <w:left w:val="none" w:sz="0" w:space="0" w:color="auto"/>
            <w:bottom w:val="none" w:sz="0" w:space="0" w:color="auto"/>
            <w:right w:val="none" w:sz="0" w:space="0" w:color="auto"/>
          </w:divBdr>
          <w:divsChild>
            <w:div w:id="1792937729">
              <w:marLeft w:val="0"/>
              <w:marRight w:val="0"/>
              <w:marTop w:val="0"/>
              <w:marBottom w:val="0"/>
              <w:divBdr>
                <w:top w:val="none" w:sz="0" w:space="0" w:color="auto"/>
                <w:left w:val="none" w:sz="0" w:space="0" w:color="auto"/>
                <w:bottom w:val="none" w:sz="0" w:space="0" w:color="auto"/>
                <w:right w:val="none" w:sz="0" w:space="0" w:color="auto"/>
              </w:divBdr>
            </w:div>
          </w:divsChild>
        </w:div>
        <w:div w:id="351876627">
          <w:marLeft w:val="0"/>
          <w:marRight w:val="0"/>
          <w:marTop w:val="0"/>
          <w:marBottom w:val="0"/>
          <w:divBdr>
            <w:top w:val="none" w:sz="0" w:space="0" w:color="auto"/>
            <w:left w:val="none" w:sz="0" w:space="0" w:color="auto"/>
            <w:bottom w:val="none" w:sz="0" w:space="0" w:color="auto"/>
            <w:right w:val="none" w:sz="0" w:space="0" w:color="auto"/>
          </w:divBdr>
          <w:divsChild>
            <w:div w:id="147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39581">
      <w:bodyDiv w:val="1"/>
      <w:marLeft w:val="0"/>
      <w:marRight w:val="0"/>
      <w:marTop w:val="0"/>
      <w:marBottom w:val="0"/>
      <w:divBdr>
        <w:top w:val="none" w:sz="0" w:space="0" w:color="auto"/>
        <w:left w:val="none" w:sz="0" w:space="0" w:color="auto"/>
        <w:bottom w:val="none" w:sz="0" w:space="0" w:color="auto"/>
        <w:right w:val="none" w:sz="0" w:space="0" w:color="auto"/>
      </w:divBdr>
    </w:div>
    <w:div w:id="2143501854">
      <w:bodyDiv w:val="1"/>
      <w:marLeft w:val="0"/>
      <w:marRight w:val="0"/>
      <w:marTop w:val="0"/>
      <w:marBottom w:val="0"/>
      <w:divBdr>
        <w:top w:val="none" w:sz="0" w:space="0" w:color="auto"/>
        <w:left w:val="none" w:sz="0" w:space="0" w:color="auto"/>
        <w:bottom w:val="none" w:sz="0" w:space="0" w:color="auto"/>
        <w:right w:val="none" w:sz="0" w:space="0" w:color="auto"/>
      </w:divBdr>
      <w:divsChild>
        <w:div w:id="1146123134">
          <w:marLeft w:val="0"/>
          <w:marRight w:val="0"/>
          <w:marTop w:val="0"/>
          <w:marBottom w:val="0"/>
          <w:divBdr>
            <w:top w:val="none" w:sz="0" w:space="0" w:color="auto"/>
            <w:left w:val="none" w:sz="0" w:space="0" w:color="auto"/>
            <w:bottom w:val="none" w:sz="0" w:space="0" w:color="auto"/>
            <w:right w:val="none" w:sz="0" w:space="0" w:color="auto"/>
          </w:divBdr>
          <w:divsChild>
            <w:div w:id="1026256462">
              <w:marLeft w:val="0"/>
              <w:marRight w:val="0"/>
              <w:marTop w:val="0"/>
              <w:marBottom w:val="0"/>
              <w:divBdr>
                <w:top w:val="none" w:sz="0" w:space="0" w:color="auto"/>
                <w:left w:val="none" w:sz="0" w:space="0" w:color="auto"/>
                <w:bottom w:val="none" w:sz="0" w:space="0" w:color="auto"/>
                <w:right w:val="none" w:sz="0" w:space="0" w:color="auto"/>
              </w:divBdr>
            </w:div>
            <w:div w:id="1465931767">
              <w:marLeft w:val="0"/>
              <w:marRight w:val="0"/>
              <w:marTop w:val="0"/>
              <w:marBottom w:val="0"/>
              <w:divBdr>
                <w:top w:val="none" w:sz="0" w:space="0" w:color="auto"/>
                <w:left w:val="none" w:sz="0" w:space="0" w:color="auto"/>
                <w:bottom w:val="none" w:sz="0" w:space="0" w:color="auto"/>
                <w:right w:val="none" w:sz="0" w:space="0" w:color="auto"/>
              </w:divBdr>
            </w:div>
          </w:divsChild>
        </w:div>
        <w:div w:id="764307867">
          <w:marLeft w:val="0"/>
          <w:marRight w:val="0"/>
          <w:marTop w:val="0"/>
          <w:marBottom w:val="0"/>
          <w:divBdr>
            <w:top w:val="none" w:sz="0" w:space="0" w:color="auto"/>
            <w:left w:val="none" w:sz="0" w:space="0" w:color="auto"/>
            <w:bottom w:val="none" w:sz="0" w:space="0" w:color="auto"/>
            <w:right w:val="none" w:sz="0" w:space="0" w:color="auto"/>
          </w:divBdr>
          <w:divsChild>
            <w:div w:id="1525437454">
              <w:marLeft w:val="0"/>
              <w:marRight w:val="0"/>
              <w:marTop w:val="0"/>
              <w:marBottom w:val="0"/>
              <w:divBdr>
                <w:top w:val="none" w:sz="0" w:space="0" w:color="auto"/>
                <w:left w:val="none" w:sz="0" w:space="0" w:color="auto"/>
                <w:bottom w:val="none" w:sz="0" w:space="0" w:color="auto"/>
                <w:right w:val="none" w:sz="0" w:space="0" w:color="auto"/>
              </w:divBdr>
              <w:divsChild>
                <w:div w:id="12554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226125">
      <w:bodyDiv w:val="1"/>
      <w:marLeft w:val="0"/>
      <w:marRight w:val="0"/>
      <w:marTop w:val="0"/>
      <w:marBottom w:val="0"/>
      <w:divBdr>
        <w:top w:val="none" w:sz="0" w:space="0" w:color="auto"/>
        <w:left w:val="none" w:sz="0" w:space="0" w:color="auto"/>
        <w:bottom w:val="none" w:sz="0" w:space="0" w:color="auto"/>
        <w:right w:val="none" w:sz="0" w:space="0" w:color="auto"/>
      </w:divBdr>
      <w:divsChild>
        <w:div w:id="1413157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wduan66@sin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ngkaimath@sina.com" TargetMode="External"/><Relationship Id="rId5" Type="http://schemas.openxmlformats.org/officeDocument/2006/relationships/webSettings" Target="webSettings.xml"/><Relationship Id="rId10" Type="http://schemas.openxmlformats.org/officeDocument/2006/relationships/hyperlink" Target="mailto:szdsyy@aliyun.com" TargetMode="External"/><Relationship Id="rId4" Type="http://schemas.openxmlformats.org/officeDocument/2006/relationships/settings" Target="settings.xml"/><Relationship Id="rId9" Type="http://schemas.openxmlformats.org/officeDocument/2006/relationships/hyperlink" Target="mailto:jonghuang@ihm.a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5EDC7-EE09-473B-B0C5-42BBE6398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18079</TotalTime>
  <Pages>1</Pages>
  <Words>9008</Words>
  <Characters>51348</Characters>
  <Application>Microsoft Office Word</Application>
  <DocSecurity>0</DocSecurity>
  <Lines>427</Lines>
  <Paragraphs>120</Paragraphs>
  <ScaleCrop>false</ScaleCrop>
  <Company/>
  <LinksUpToDate>false</LinksUpToDate>
  <CharactersWithSpaces>60236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bnds</dc:creator>
  <cp:keywords/>
  <dc:description/>
  <cp:lastModifiedBy>bnds</cp:lastModifiedBy>
  <cp:revision>2278</cp:revision>
  <dcterms:created xsi:type="dcterms:W3CDTF">2024-04-01T04:18:00Z</dcterms:created>
  <dcterms:modified xsi:type="dcterms:W3CDTF">2025-09-09T01:49:00Z</dcterms:modified>
</cp:coreProperties>
</file>